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930"/>
        </w:tabs>
        <w:rPr>
          <w:rFonts w:ascii="宋体" w:hAnsi="宋体"/>
          <w:b/>
          <w:sz w:val="44"/>
          <w:szCs w:val="44"/>
        </w:rPr>
      </w:pPr>
      <w:bookmarkStart w:id="0" w:name="_Toc257983077"/>
      <w:bookmarkStart w:id="1" w:name="_Toc266431114"/>
      <w:bookmarkStart w:id="2" w:name="_Toc266776854"/>
    </w:p>
    <w:p>
      <w:pPr>
        <w:rPr>
          <w:rFonts w:ascii="宋体" w:hAnsi="宋体"/>
          <w:b/>
          <w:sz w:val="44"/>
          <w:szCs w:val="44"/>
        </w:rPr>
      </w:pPr>
    </w:p>
    <w:p>
      <w:pPr>
        <w:jc w:val="center"/>
        <w:rPr>
          <w:rFonts w:ascii="宋体" w:cs="宋体"/>
          <w:b/>
          <w:sz w:val="96"/>
          <w:szCs w:val="96"/>
        </w:rPr>
      </w:pPr>
      <w:r>
        <w:rPr>
          <w:rFonts w:hint="eastAsia" w:ascii="宋体" w:hAnsi="宋体" w:cs="宋体"/>
          <w:b/>
          <w:sz w:val="96"/>
          <w:szCs w:val="96"/>
        </w:rPr>
        <w:t>竞争性谈判文件</w:t>
      </w:r>
    </w:p>
    <w:p>
      <w:pPr>
        <w:rPr>
          <w:rFonts w:ascii="宋体" w:cs="宋体"/>
          <w:sz w:val="36"/>
        </w:rPr>
      </w:pPr>
    </w:p>
    <w:p>
      <w:pPr>
        <w:spacing w:line="480" w:lineRule="auto"/>
        <w:ind w:firstLine="948" w:firstLineChars="295"/>
        <w:rPr>
          <w:rFonts w:ascii="宋体" w:cs="宋体"/>
          <w:b/>
          <w:sz w:val="32"/>
        </w:rPr>
      </w:pPr>
    </w:p>
    <w:p>
      <w:pPr>
        <w:spacing w:line="480" w:lineRule="auto"/>
        <w:rPr>
          <w:rFonts w:ascii="宋体" w:cs="宋体"/>
          <w:b/>
          <w:sz w:val="32"/>
        </w:rPr>
      </w:pPr>
    </w:p>
    <w:p>
      <w:pPr>
        <w:spacing w:line="480" w:lineRule="auto"/>
        <w:rPr>
          <w:rFonts w:ascii="宋体" w:cs="宋体"/>
          <w:b/>
          <w:sz w:val="32"/>
        </w:rPr>
      </w:pPr>
    </w:p>
    <w:p>
      <w:pPr>
        <w:spacing w:line="480" w:lineRule="auto"/>
        <w:rPr>
          <w:rFonts w:ascii="宋体" w:cs="宋体"/>
          <w:b/>
          <w:sz w:val="32"/>
        </w:rPr>
      </w:pPr>
    </w:p>
    <w:p>
      <w:pPr>
        <w:spacing w:line="360" w:lineRule="auto"/>
        <w:jc w:val="center"/>
        <w:rPr>
          <w:rFonts w:hint="eastAsia" w:ascii="宋体" w:hAnsi="宋体"/>
          <w:b/>
          <w:bCs/>
          <w:sz w:val="36"/>
          <w:szCs w:val="36"/>
          <w:lang w:val="en-US" w:eastAsia="zh-CN"/>
        </w:rPr>
      </w:pPr>
      <w:r>
        <w:rPr>
          <w:rFonts w:hint="eastAsia" w:ascii="宋体" w:hAnsi="宋体"/>
          <w:b/>
          <w:bCs/>
          <w:sz w:val="36"/>
          <w:szCs w:val="36"/>
        </w:rPr>
        <w:t xml:space="preserve">          项目名称：黄石市中心医院（普爱院区）</w:t>
      </w:r>
      <w:r>
        <w:rPr>
          <w:rFonts w:hint="eastAsia" w:ascii="宋体" w:hAnsi="宋体"/>
          <w:b/>
          <w:bCs/>
          <w:sz w:val="36"/>
          <w:szCs w:val="36"/>
          <w:lang w:val="en-US" w:eastAsia="zh-CN"/>
        </w:rPr>
        <w:t xml:space="preserve">  </w:t>
      </w:r>
    </w:p>
    <w:p>
      <w:pPr>
        <w:spacing w:line="360" w:lineRule="auto"/>
        <w:ind w:firstLine="3253" w:firstLineChars="900"/>
        <w:jc w:val="both"/>
        <w:rPr>
          <w:rFonts w:ascii="宋体" w:hAnsi="宋体"/>
          <w:b/>
          <w:bCs/>
          <w:sz w:val="36"/>
          <w:szCs w:val="36"/>
        </w:rPr>
      </w:pPr>
      <w:r>
        <w:rPr>
          <w:rFonts w:hint="eastAsia" w:ascii="宋体" w:hAnsi="宋体"/>
          <w:b/>
          <w:bCs/>
          <w:sz w:val="36"/>
          <w:szCs w:val="36"/>
          <w:lang w:val="en-US" w:eastAsia="zh-CN"/>
        </w:rPr>
        <w:t>停车场花坛处供水管道更换</w:t>
      </w:r>
      <w:r>
        <w:rPr>
          <w:rFonts w:hint="eastAsia" w:ascii="宋体" w:hAnsi="宋体"/>
          <w:b/>
          <w:bCs/>
          <w:sz w:val="36"/>
          <w:szCs w:val="36"/>
        </w:rPr>
        <w:t>项目</w:t>
      </w:r>
    </w:p>
    <w:p>
      <w:pPr>
        <w:spacing w:line="360" w:lineRule="auto"/>
        <w:ind w:firstLine="1807" w:firstLineChars="500"/>
        <w:rPr>
          <w:rFonts w:ascii="宋体"/>
          <w:b/>
          <w:bCs/>
          <w:sz w:val="36"/>
          <w:szCs w:val="36"/>
        </w:rPr>
      </w:pPr>
      <w:r>
        <w:rPr>
          <w:rFonts w:hint="eastAsia" w:ascii="宋体" w:hAnsi="宋体"/>
          <w:b/>
          <w:bCs/>
          <w:sz w:val="36"/>
          <w:szCs w:val="36"/>
        </w:rPr>
        <w:t>采购单位：黄石市中心医院</w:t>
      </w:r>
    </w:p>
    <w:p>
      <w:pPr>
        <w:pStyle w:val="6"/>
        <w:spacing w:line="360" w:lineRule="auto"/>
        <w:ind w:left="0" w:leftChars="0"/>
        <w:jc w:val="center"/>
        <w:rPr>
          <w:rFonts w:hAnsi="宋体"/>
          <w:b/>
          <w:bCs/>
          <w:sz w:val="36"/>
          <w:szCs w:val="36"/>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jc w:val="center"/>
        <w:rPr>
          <w:rFonts w:ascii="宋体"/>
          <w:b/>
          <w:sz w:val="32"/>
          <w:szCs w:val="32"/>
        </w:rPr>
      </w:pPr>
      <w:r>
        <w:rPr>
          <w:rFonts w:hint="eastAsia" w:ascii="宋体" w:hAnsi="宋体"/>
          <w:b/>
          <w:bCs/>
          <w:sz w:val="36"/>
          <w:szCs w:val="36"/>
        </w:rPr>
        <w:t>二〇二</w:t>
      </w:r>
      <w:r>
        <w:rPr>
          <w:rFonts w:hint="eastAsia" w:ascii="宋体" w:hAnsi="宋体"/>
          <w:b/>
          <w:bCs/>
          <w:sz w:val="36"/>
          <w:szCs w:val="36"/>
          <w:lang w:val="en-US" w:eastAsia="zh-CN"/>
        </w:rPr>
        <w:t>五</w:t>
      </w:r>
      <w:r>
        <w:rPr>
          <w:rFonts w:hint="eastAsia" w:ascii="宋体" w:hAnsi="宋体"/>
          <w:b/>
          <w:bCs/>
          <w:sz w:val="36"/>
          <w:szCs w:val="36"/>
        </w:rPr>
        <w:t>年</w:t>
      </w:r>
      <w:r>
        <w:rPr>
          <w:rFonts w:hint="eastAsia" w:ascii="宋体" w:hAnsi="宋体"/>
          <w:b/>
          <w:bCs/>
          <w:sz w:val="36"/>
          <w:szCs w:val="36"/>
          <w:lang w:val="en-US" w:eastAsia="zh-CN"/>
        </w:rPr>
        <w:t>七</w:t>
      </w:r>
      <w:r>
        <w:rPr>
          <w:rFonts w:hint="eastAsia" w:ascii="宋体" w:hAnsi="宋体"/>
          <w:b/>
          <w:bCs/>
          <w:sz w:val="36"/>
          <w:szCs w:val="36"/>
        </w:rPr>
        <w:t>月</w:t>
      </w:r>
    </w:p>
    <w:p/>
    <w:p/>
    <w:p>
      <w:pPr>
        <w:spacing w:line="264" w:lineRule="auto"/>
        <w:rPr>
          <w:rFonts w:ascii="宋体" w:hAnsi="宋体" w:cs="宋体"/>
          <w:b/>
          <w:sz w:val="32"/>
          <w:szCs w:val="32"/>
        </w:rPr>
      </w:pPr>
    </w:p>
    <w:p>
      <w:pPr>
        <w:spacing w:line="264" w:lineRule="auto"/>
        <w:rPr>
          <w:rFonts w:ascii="宋体" w:hAnsi="宋体" w:cs="宋体"/>
          <w:b/>
          <w:sz w:val="32"/>
          <w:szCs w:val="32"/>
        </w:rPr>
      </w:pPr>
    </w:p>
    <w:p>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pPr>
        <w:spacing w:line="360" w:lineRule="auto"/>
        <w:ind w:firstLine="480" w:firstLineChars="200"/>
        <w:rPr>
          <w:sz w:val="24"/>
          <w:u w:val="single"/>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市中心医院的需求，就</w:t>
      </w:r>
      <w:r>
        <w:rPr>
          <w:rFonts w:hint="eastAsia"/>
          <w:sz w:val="24"/>
        </w:rPr>
        <w:t>黄石市中心医院（普爱院区）</w:t>
      </w:r>
      <w:r>
        <w:rPr>
          <w:rFonts w:hint="eastAsia"/>
          <w:sz w:val="24"/>
          <w:lang w:val="en-US" w:eastAsia="zh-CN"/>
        </w:rPr>
        <w:t>停车场花坛处供水管道更换</w:t>
      </w:r>
      <w:r>
        <w:rPr>
          <w:rFonts w:hint="eastAsia"/>
          <w:bCs/>
          <w:sz w:val="24"/>
        </w:rPr>
        <w:t>项目</w:t>
      </w:r>
      <w:r>
        <w:rPr>
          <w:rFonts w:hint="eastAsia" w:ascii="宋体" w:hAnsi="宋体" w:cs="宋体"/>
          <w:color w:val="000000"/>
          <w:sz w:val="24"/>
          <w:lang w:val="zh-CN"/>
        </w:rPr>
        <w:t>以竞争性谈判</w:t>
      </w:r>
      <w:r>
        <w:rPr>
          <w:rFonts w:hint="eastAsia" w:ascii="宋体" w:hAnsi="宋体" w:cs="宋体"/>
          <w:sz w:val="24"/>
          <w:lang w:val="zh-CN"/>
        </w:rPr>
        <w:t>方式进行采购</w:t>
      </w:r>
      <w:r>
        <w:rPr>
          <w:rFonts w:hint="eastAsia" w:ascii="宋体" w:hAnsi="宋体" w:cs="宋体"/>
          <w:sz w:val="24"/>
        </w:rPr>
        <w:t>，欢迎符合资格条件的供应商参与本项目的谈判。</w:t>
      </w:r>
    </w:p>
    <w:p>
      <w:pPr>
        <w:spacing w:line="420" w:lineRule="exact"/>
        <w:rPr>
          <w:rFonts w:ascii="宋体" w:cs="宋体"/>
          <w:sz w:val="18"/>
          <w:szCs w:val="18"/>
        </w:rPr>
      </w:pPr>
      <w:r>
        <w:rPr>
          <w:rFonts w:hint="eastAsia" w:ascii="宋体" w:hAnsi="宋体" w:cs="宋体"/>
          <w:b/>
          <w:bCs/>
          <w:sz w:val="24"/>
        </w:rPr>
        <w:t>一、项目概况：</w:t>
      </w:r>
    </w:p>
    <w:p>
      <w:pPr>
        <w:spacing w:line="360" w:lineRule="auto"/>
        <w:ind w:left="1920" w:hanging="1920" w:hangingChars="800"/>
        <w:jc w:val="left"/>
        <w:rPr>
          <w:rFonts w:ascii="宋体" w:hAnsi="宋体" w:cs="仿宋_GB2312"/>
          <w:sz w:val="24"/>
          <w:u w:val="single"/>
        </w:rPr>
      </w:pPr>
      <w:r>
        <w:rPr>
          <w:rFonts w:hint="eastAsia" w:ascii="宋体" w:hAnsi="宋体" w:cs="仿宋_GB2312"/>
          <w:sz w:val="24"/>
        </w:rPr>
        <w:t xml:space="preserve">   1．项目名称：</w:t>
      </w:r>
      <w:r>
        <w:rPr>
          <w:rFonts w:hint="eastAsia"/>
          <w:sz w:val="24"/>
        </w:rPr>
        <w:t>黄石市中心医院（普爱院区）</w:t>
      </w:r>
      <w:r>
        <w:rPr>
          <w:rFonts w:hint="eastAsia"/>
          <w:sz w:val="24"/>
          <w:lang w:val="en-US" w:eastAsia="zh-CN"/>
        </w:rPr>
        <w:t>停车场花坛处供水管道更换</w:t>
      </w:r>
      <w:r>
        <w:rPr>
          <w:rFonts w:hint="eastAsia"/>
          <w:bCs/>
          <w:sz w:val="24"/>
        </w:rPr>
        <w:t>项目</w:t>
      </w:r>
    </w:p>
    <w:p>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采购方式：竞争性谈判</w:t>
      </w:r>
    </w:p>
    <w:p>
      <w:pPr>
        <w:spacing w:line="360" w:lineRule="auto"/>
        <w:ind w:firstLine="480" w:firstLineChars="200"/>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预算金额</w:t>
      </w:r>
      <w:r>
        <w:rPr>
          <w:rFonts w:hint="eastAsia" w:ascii="宋体" w:hAnsi="宋体" w:cs="仿宋_GB2312"/>
          <w:sz w:val="24"/>
          <w:lang w:val="en-US" w:eastAsia="zh-CN"/>
        </w:rPr>
        <w:t>：2.93万元</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4</w:t>
      </w:r>
      <w:r>
        <w:rPr>
          <w:rFonts w:ascii="宋体" w:hAnsi="宋体" w:cs="仿宋_GB2312"/>
          <w:sz w:val="24"/>
        </w:rPr>
        <w:t>.</w:t>
      </w:r>
      <w:r>
        <w:rPr>
          <w:rFonts w:hint="eastAsia" w:ascii="宋体" w:hAnsi="宋体" w:cs="仿宋_GB2312"/>
          <w:sz w:val="24"/>
        </w:rPr>
        <w:t>控制价：</w:t>
      </w:r>
      <w:r>
        <w:rPr>
          <w:rFonts w:hint="eastAsia" w:ascii="宋体" w:hAnsi="宋体" w:cs="仿宋_GB2312"/>
          <w:sz w:val="24"/>
          <w:lang w:val="en-US" w:eastAsia="zh-CN"/>
        </w:rPr>
        <w:t>2.93</w:t>
      </w:r>
      <w:r>
        <w:rPr>
          <w:rFonts w:hint="eastAsia" w:ascii="宋体" w:hAnsi="宋体" w:cs="仿宋_GB2312"/>
          <w:sz w:val="24"/>
        </w:rPr>
        <w:t>万元</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5</w:t>
      </w:r>
      <w:r>
        <w:rPr>
          <w:rFonts w:ascii="宋体" w:hAnsi="宋体" w:cs="仿宋_GB2312"/>
          <w:sz w:val="24"/>
        </w:rPr>
        <w:t>.</w:t>
      </w:r>
      <w:r>
        <w:rPr>
          <w:rFonts w:hint="eastAsia" w:ascii="宋体" w:hAnsi="宋体" w:cs="仿宋_GB2312"/>
          <w:sz w:val="24"/>
        </w:rPr>
        <w:t>采购需求：</w:t>
      </w:r>
      <w:r>
        <w:rPr>
          <w:rFonts w:hint="eastAsia"/>
          <w:sz w:val="24"/>
          <w:lang w:val="en-US" w:eastAsia="zh-CN"/>
        </w:rPr>
        <w:t>停车场花坛处供水管道更换</w:t>
      </w:r>
      <w:r>
        <w:rPr>
          <w:rFonts w:hint="eastAsia" w:ascii="宋体" w:hAnsi="宋体" w:cs="仿宋_GB2312"/>
          <w:sz w:val="24"/>
        </w:rPr>
        <w:t>（具体内容详见谈判文件第四章采购需求、工程量清单）</w:t>
      </w:r>
    </w:p>
    <w:p>
      <w:pPr>
        <w:spacing w:line="360" w:lineRule="auto"/>
        <w:ind w:firstLine="480" w:firstLineChars="200"/>
        <w:rPr>
          <w:rFonts w:ascii="宋体" w:hAnsi="宋体" w:cs="仿宋_GB2312"/>
          <w:sz w:val="24"/>
        </w:rPr>
      </w:pPr>
      <w:r>
        <w:rPr>
          <w:rFonts w:hint="eastAsia" w:ascii="宋体" w:hAnsi="宋体" w:cs="仿宋_GB2312"/>
          <w:sz w:val="24"/>
        </w:rPr>
        <w:t>6</w:t>
      </w:r>
      <w:r>
        <w:rPr>
          <w:rFonts w:ascii="宋体" w:hAnsi="宋体" w:cs="仿宋_GB2312"/>
          <w:sz w:val="24"/>
        </w:rPr>
        <w:t>.</w:t>
      </w:r>
      <w:r>
        <w:rPr>
          <w:rFonts w:hint="eastAsia" w:ascii="宋体" w:hAnsi="宋体" w:cs="仿宋_GB2312"/>
          <w:sz w:val="24"/>
        </w:rPr>
        <w:t>合同履行期限：</w:t>
      </w:r>
      <w:r>
        <w:rPr>
          <w:rFonts w:hint="eastAsia" w:ascii="宋体" w:hAnsi="宋体" w:cs="仿宋_GB2312"/>
          <w:sz w:val="24"/>
          <w:lang w:val="en-US" w:eastAsia="zh-CN"/>
        </w:rPr>
        <w:t>10</w:t>
      </w:r>
      <w:r>
        <w:rPr>
          <w:rFonts w:hint="eastAsia" w:ascii="宋体" w:hAnsi="宋体" w:cs="仿宋_GB2312"/>
          <w:sz w:val="24"/>
        </w:rPr>
        <w:t>天。</w:t>
      </w:r>
    </w:p>
    <w:p>
      <w:pPr>
        <w:spacing w:line="360" w:lineRule="auto"/>
        <w:ind w:firstLine="480" w:firstLineChars="200"/>
        <w:rPr>
          <w:rFonts w:ascii="宋体" w:hAnsi="宋体" w:cs="仿宋_GB2312"/>
          <w:sz w:val="24"/>
          <w:szCs w:val="24"/>
        </w:rPr>
      </w:pPr>
      <w:r>
        <w:rPr>
          <w:rFonts w:hint="eastAsia" w:ascii="宋体" w:hAnsi="宋体" w:cs="仿宋_GB2312"/>
          <w:sz w:val="24"/>
        </w:rPr>
        <w:t>7</w:t>
      </w:r>
      <w:r>
        <w:rPr>
          <w:rFonts w:ascii="宋体" w:hAnsi="宋体" w:cs="仿宋_GB2312"/>
          <w:sz w:val="24"/>
        </w:rPr>
        <w:t>.</w:t>
      </w:r>
      <w:r>
        <w:rPr>
          <w:rFonts w:hint="eastAsia" w:ascii="宋体" w:hAnsi="宋体" w:cs="仿宋_GB2312"/>
          <w:sz w:val="24"/>
        </w:rPr>
        <w:t>本项目（是/否）接受联合体投标：</w:t>
      </w:r>
      <w:r>
        <w:rPr>
          <w:rFonts w:hint="eastAsia" w:ascii="宋体" w:hAnsi="宋体" w:cs="仿宋_GB2312"/>
          <w:sz w:val="24"/>
          <w:szCs w:val="24"/>
        </w:rPr>
        <w:t>否</w:t>
      </w:r>
    </w:p>
    <w:p>
      <w:pPr>
        <w:spacing w:line="360" w:lineRule="auto"/>
        <w:ind w:firstLine="480" w:firstLineChars="200"/>
        <w:rPr>
          <w:rFonts w:ascii="宋体" w:hAnsi="宋体" w:cs="仿宋_GB2312"/>
          <w:sz w:val="24"/>
        </w:rPr>
      </w:pPr>
    </w:p>
    <w:p>
      <w:pPr>
        <w:spacing w:line="420" w:lineRule="exact"/>
        <w:rPr>
          <w:rFonts w:ascii="宋体" w:cs="宋体"/>
          <w:b/>
          <w:bCs/>
          <w:color w:val="000000"/>
          <w:sz w:val="24"/>
        </w:rPr>
      </w:pPr>
      <w:r>
        <w:rPr>
          <w:rFonts w:hint="eastAsia" w:ascii="宋体" w:hAnsi="宋体" w:cs="宋体"/>
          <w:b/>
          <w:bCs/>
          <w:color w:val="000000"/>
          <w:sz w:val="24"/>
        </w:rPr>
        <w:t>二、供应商资格要求：</w:t>
      </w:r>
    </w:p>
    <w:p>
      <w:pPr>
        <w:adjustRightInd w:val="0"/>
        <w:snapToGrid w:val="0"/>
        <w:spacing w:line="360" w:lineRule="auto"/>
        <w:ind w:firstLine="480" w:firstLineChars="200"/>
        <w:rPr>
          <w:rFonts w:ascii="宋体" w:hAnsi="宋体" w:cs="仿宋_GB2312"/>
          <w:sz w:val="24"/>
          <w:lang/>
        </w:rPr>
      </w:pPr>
      <w:r>
        <w:rPr>
          <w:rFonts w:ascii="宋体" w:hAnsi="宋体" w:cs="仿宋_GB2312"/>
          <w:sz w:val="24"/>
          <w:lang/>
        </w:rPr>
        <w:t>1.</w:t>
      </w:r>
      <w:r>
        <w:rPr>
          <w:rFonts w:hint="eastAsia" w:ascii="宋体" w:hAnsi="宋体" w:cs="仿宋_GB2312"/>
          <w:sz w:val="24"/>
          <w:lang/>
        </w:rPr>
        <w:t>满足《中华人民共和国政府采购法》第二十二条规定，即：</w:t>
      </w:r>
    </w:p>
    <w:p>
      <w:pPr>
        <w:adjustRightInd w:val="0"/>
        <w:snapToGrid w:val="0"/>
        <w:spacing w:line="360" w:lineRule="auto"/>
        <w:ind w:firstLine="480" w:firstLineChars="200"/>
        <w:rPr>
          <w:rFonts w:ascii="宋体" w:hAnsi="宋体" w:cs="仿宋_GB2312"/>
          <w:sz w:val="24"/>
          <w:lang/>
        </w:rPr>
      </w:pPr>
      <w:r>
        <w:rPr>
          <w:rFonts w:hint="eastAsia" w:ascii="宋体" w:hAnsi="宋体" w:cs="仿宋_GB2312"/>
          <w:sz w:val="24"/>
          <w:lang/>
        </w:rPr>
        <w:t>（1）具有独立承担民事责任的能力；</w:t>
      </w:r>
    </w:p>
    <w:p>
      <w:pPr>
        <w:adjustRightInd w:val="0"/>
        <w:snapToGrid w:val="0"/>
        <w:spacing w:line="360" w:lineRule="auto"/>
        <w:ind w:firstLine="480" w:firstLineChars="200"/>
        <w:rPr>
          <w:rFonts w:ascii="宋体" w:hAnsi="宋体" w:cs="仿宋_GB2312"/>
          <w:color w:val="FF0000"/>
          <w:sz w:val="24"/>
          <w:lang/>
        </w:rPr>
      </w:pPr>
      <w:r>
        <w:rPr>
          <w:rFonts w:hint="eastAsia" w:ascii="宋体" w:hAnsi="宋体" w:cs="仿宋_GB2312"/>
          <w:sz w:val="24"/>
          <w:lang/>
        </w:rPr>
        <w:t>（2）</w:t>
      </w:r>
      <w:r>
        <w:rPr>
          <w:rFonts w:hint="eastAsia" w:ascii="宋体" w:hAnsi="宋体" w:cs="仿宋_GB2312"/>
          <w:color w:val="000000"/>
          <w:sz w:val="24"/>
          <w:lang/>
        </w:rPr>
        <w:t>具有良好的商业信誉和健全的财务会计制度；</w:t>
      </w:r>
    </w:p>
    <w:p>
      <w:pPr>
        <w:adjustRightInd w:val="0"/>
        <w:snapToGrid w:val="0"/>
        <w:spacing w:line="360" w:lineRule="auto"/>
        <w:ind w:firstLine="480" w:firstLineChars="200"/>
        <w:rPr>
          <w:rFonts w:ascii="宋体" w:hAnsi="宋体" w:cs="仿宋_GB2312"/>
          <w:color w:val="000000"/>
          <w:sz w:val="24"/>
          <w:lang/>
        </w:rPr>
      </w:pPr>
      <w:r>
        <w:rPr>
          <w:rFonts w:hint="eastAsia" w:ascii="宋体" w:hAnsi="宋体" w:cs="仿宋_GB2312"/>
          <w:color w:val="000000"/>
          <w:sz w:val="24"/>
          <w:lang/>
        </w:rPr>
        <w:t>（3）</w:t>
      </w:r>
      <w:r>
        <w:rPr>
          <w:rFonts w:hint="eastAsia" w:ascii="宋体" w:hAnsi="宋体" w:cs="仿宋_GB2312"/>
          <w:sz w:val="24"/>
          <w:lang/>
        </w:rPr>
        <w:t>具有履行合同所必需的设备和专业技术能力；</w:t>
      </w:r>
    </w:p>
    <w:p>
      <w:pPr>
        <w:adjustRightInd w:val="0"/>
        <w:snapToGrid w:val="0"/>
        <w:spacing w:line="360" w:lineRule="auto"/>
        <w:ind w:firstLine="480" w:firstLineChars="200"/>
        <w:rPr>
          <w:rFonts w:ascii="宋体" w:hAnsi="宋体" w:cs="仿宋_GB2312"/>
          <w:sz w:val="24"/>
          <w:lang/>
        </w:rPr>
      </w:pPr>
      <w:r>
        <w:rPr>
          <w:rFonts w:hint="eastAsia" w:ascii="宋体" w:hAnsi="宋体" w:cs="仿宋_GB2312"/>
          <w:sz w:val="24"/>
          <w:lang/>
        </w:rPr>
        <w:t>（4）有依法缴纳税收和社会保障资金的良好记录；</w:t>
      </w:r>
    </w:p>
    <w:p>
      <w:pPr>
        <w:adjustRightInd w:val="0"/>
        <w:snapToGrid w:val="0"/>
        <w:spacing w:line="360" w:lineRule="auto"/>
        <w:ind w:firstLine="480" w:firstLineChars="200"/>
        <w:rPr>
          <w:rFonts w:ascii="宋体" w:hAnsi="宋体" w:cs="仿宋_GB2312"/>
          <w:sz w:val="24"/>
          <w:lang/>
        </w:rPr>
      </w:pPr>
      <w:r>
        <w:rPr>
          <w:rFonts w:hint="eastAsia" w:ascii="宋体" w:hAnsi="宋体" w:cs="仿宋_GB2312"/>
          <w:sz w:val="24"/>
          <w:lang/>
        </w:rPr>
        <w:t>（5）参加政府采购活动前三年内，在经营活动中没有重大违法记录；</w:t>
      </w:r>
    </w:p>
    <w:p>
      <w:pPr>
        <w:adjustRightInd w:val="0"/>
        <w:snapToGrid w:val="0"/>
        <w:spacing w:line="360" w:lineRule="auto"/>
        <w:ind w:firstLine="480" w:firstLineChars="200"/>
        <w:rPr>
          <w:rFonts w:ascii="宋体" w:hAnsi="宋体" w:cs="仿宋_GB2312"/>
          <w:sz w:val="24"/>
          <w:lang/>
        </w:rPr>
      </w:pPr>
      <w:r>
        <w:rPr>
          <w:rFonts w:hint="eastAsia" w:ascii="宋体" w:hAnsi="宋体" w:cs="仿宋_GB2312"/>
          <w:sz w:val="24"/>
          <w:lang/>
        </w:rPr>
        <w:t>（6）法律、行政法规规定的其他条件。</w:t>
      </w:r>
    </w:p>
    <w:p>
      <w:pPr>
        <w:adjustRightInd w:val="0"/>
        <w:snapToGrid w:val="0"/>
        <w:spacing w:line="360" w:lineRule="auto"/>
        <w:ind w:firstLine="480" w:firstLineChars="200"/>
        <w:rPr>
          <w:rFonts w:ascii="宋体" w:hAnsi="宋体" w:cs="仿宋_GB2312"/>
          <w:sz w:val="24"/>
          <w:lang/>
        </w:rPr>
      </w:pPr>
      <w:r>
        <w:rPr>
          <w:rFonts w:ascii="宋体" w:hAnsi="宋体" w:cs="仿宋_GB2312"/>
          <w:sz w:val="24"/>
          <w:lang/>
        </w:rPr>
        <w:t>2.</w:t>
      </w:r>
      <w:r>
        <w:rPr>
          <w:rFonts w:hint="eastAsia" w:ascii="宋体" w:hAnsi="宋体" w:cs="仿宋_GB2312"/>
          <w:sz w:val="24"/>
          <w:lang/>
        </w:rPr>
        <w:t>单位负责人为同一人或者存在直接控股、管理关系的不同供应商，不得参加本项目同一合同项下的政府采购活动。</w:t>
      </w:r>
    </w:p>
    <w:p>
      <w:pPr>
        <w:spacing w:line="420" w:lineRule="exact"/>
        <w:ind w:firstLine="480" w:firstLineChars="200"/>
        <w:rPr>
          <w:rFonts w:ascii="宋体" w:hAnsi="宋体" w:cs="宋体"/>
          <w:sz w:val="24"/>
          <w:szCs w:val="24"/>
          <w:lang/>
        </w:rPr>
      </w:pPr>
      <w:r>
        <w:rPr>
          <w:rFonts w:hint="eastAsia" w:ascii="宋体" w:hAnsi="宋体" w:cs="宋体"/>
          <w:sz w:val="24"/>
          <w:szCs w:val="24"/>
          <w:lang/>
        </w:rPr>
        <w:t>3</w:t>
      </w:r>
      <w:r>
        <w:rPr>
          <w:rFonts w:hint="eastAsia" w:ascii="宋体" w:hAnsi="宋体" w:cs="宋体"/>
          <w:sz w:val="24"/>
          <w:szCs w:val="24"/>
          <w:lang w:val="zh-CN"/>
        </w:rPr>
        <w:t>、供应商未被列入</w:t>
      </w:r>
      <w:r>
        <w:rPr>
          <w:rFonts w:hint="eastAsia" w:ascii="宋体" w:hAnsi="宋体" w:cs="宋体"/>
          <w:sz w:val="24"/>
          <w:szCs w:val="24"/>
          <w:lang/>
        </w:rPr>
        <w:t>“</w:t>
      </w:r>
      <w:r>
        <w:rPr>
          <w:rFonts w:hint="eastAsia" w:ascii="宋体" w:hAnsi="宋体" w:cs="宋体"/>
          <w:sz w:val="24"/>
          <w:szCs w:val="24"/>
          <w:lang w:val="zh-CN"/>
        </w:rPr>
        <w:t>信用中国</w:t>
      </w:r>
      <w:r>
        <w:rPr>
          <w:rFonts w:hint="eastAsia" w:ascii="宋体" w:hAnsi="宋体" w:cs="宋体"/>
          <w:sz w:val="24"/>
          <w:szCs w:val="24"/>
          <w:lang/>
        </w:rPr>
        <w:t>”</w:t>
      </w:r>
      <w:r>
        <w:rPr>
          <w:rFonts w:hint="eastAsia" w:ascii="宋体" w:hAnsi="宋体" w:cs="宋体"/>
          <w:sz w:val="24"/>
          <w:szCs w:val="24"/>
          <w:lang w:val="zh-CN"/>
        </w:rPr>
        <w:t>网站</w:t>
      </w:r>
      <w:r>
        <w:rPr>
          <w:rFonts w:hint="eastAsia" w:ascii="宋体" w:hAnsi="宋体" w:cs="宋体"/>
          <w:sz w:val="24"/>
          <w:szCs w:val="24"/>
          <w:lang/>
        </w:rPr>
        <w:t>（www.creditchina.gov.cn）</w:t>
      </w:r>
      <w:r>
        <w:rPr>
          <w:rFonts w:hint="eastAsia" w:ascii="宋体" w:hAnsi="宋体" w:cs="宋体"/>
          <w:sz w:val="24"/>
          <w:szCs w:val="24"/>
          <w:lang w:val="zh-CN"/>
        </w:rPr>
        <w:t>失信被执行人、重大税收违法案件当事人记录名单、政府采购严重违法失信行为信息记录名单</w:t>
      </w:r>
      <w:r>
        <w:rPr>
          <w:rFonts w:hint="eastAsia" w:ascii="宋体" w:hAnsi="宋体" w:cs="宋体"/>
          <w:sz w:val="24"/>
          <w:szCs w:val="24"/>
          <w:lang/>
        </w:rPr>
        <w:t>，</w:t>
      </w:r>
      <w:r>
        <w:rPr>
          <w:rFonts w:hint="eastAsia" w:ascii="宋体" w:hAnsi="宋体" w:cs="宋体"/>
          <w:sz w:val="24"/>
          <w:szCs w:val="24"/>
          <w:lang w:val="zh-CN"/>
        </w:rPr>
        <w:t>以采购代理机构</w:t>
      </w:r>
      <w:r>
        <w:rPr>
          <w:rFonts w:hint="eastAsia" w:ascii="宋体" w:hAnsi="宋体" w:cs="宋体"/>
          <w:sz w:val="24"/>
          <w:szCs w:val="24"/>
        </w:rPr>
        <w:t>谈判</w:t>
      </w:r>
      <w:r>
        <w:rPr>
          <w:rFonts w:hint="eastAsia" w:ascii="宋体" w:hAnsi="宋体" w:cs="宋体"/>
          <w:sz w:val="24"/>
          <w:szCs w:val="24"/>
          <w:lang w:val="zh-CN"/>
        </w:rPr>
        <w:t>当天查询结果为准。</w:t>
      </w:r>
    </w:p>
    <w:p>
      <w:pPr>
        <w:spacing w:line="420" w:lineRule="exact"/>
        <w:ind w:firstLine="480" w:firstLineChars="200"/>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、本项目不接受联合体</w:t>
      </w:r>
      <w:r>
        <w:rPr>
          <w:rFonts w:hint="eastAsia" w:ascii="宋体" w:hAnsi="宋体" w:cs="宋体"/>
          <w:sz w:val="24"/>
          <w:szCs w:val="24"/>
        </w:rPr>
        <w:t>谈判</w:t>
      </w:r>
      <w:r>
        <w:rPr>
          <w:rFonts w:hint="eastAsia" w:ascii="宋体" w:hAnsi="宋体" w:cs="宋体"/>
          <w:sz w:val="24"/>
          <w:szCs w:val="24"/>
          <w:lang w:val="zh-CN"/>
        </w:rPr>
        <w:t>，不允许分包、转包。</w:t>
      </w:r>
    </w:p>
    <w:p>
      <w:pPr>
        <w:spacing w:line="420" w:lineRule="exact"/>
        <w:ind w:firstLine="480" w:firstLineChars="200"/>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zh-CN"/>
        </w:rPr>
        <w:t>、本项目的特定资格要求：</w:t>
      </w:r>
      <w:r>
        <w:rPr>
          <w:rFonts w:hint="eastAsia" w:ascii="宋体" w:hAnsi="宋体" w:cs="宋体"/>
          <w:sz w:val="24"/>
          <w:szCs w:val="24"/>
        </w:rPr>
        <w:t>无。</w:t>
      </w:r>
    </w:p>
    <w:p>
      <w:pPr>
        <w:adjustRightInd w:val="0"/>
        <w:snapToGrid w:val="0"/>
        <w:spacing w:line="360" w:lineRule="auto"/>
        <w:ind w:firstLine="482" w:firstLineChars="200"/>
        <w:rPr>
          <w:rFonts w:ascii="宋体" w:cs="宋体"/>
          <w:b/>
          <w:bCs/>
          <w:sz w:val="24"/>
        </w:rPr>
      </w:pPr>
      <w:r>
        <w:rPr>
          <w:rFonts w:hint="eastAsia" w:ascii="宋体" w:hAnsi="宋体" w:cs="宋体"/>
          <w:b/>
          <w:bCs/>
          <w:sz w:val="24"/>
        </w:rPr>
        <w:t>三、报名及谈判文件获取方式：</w:t>
      </w:r>
    </w:p>
    <w:p>
      <w:pPr>
        <w:snapToGrid w:val="0"/>
        <w:spacing w:line="420" w:lineRule="exact"/>
        <w:ind w:firstLine="504" w:firstLineChars="210"/>
        <w:rPr>
          <w:rFonts w:ascii="宋体" w:hAnsi="宋体" w:cs="宋体"/>
          <w:sz w:val="24"/>
        </w:rPr>
      </w:pPr>
      <w:r>
        <w:rPr>
          <w:rFonts w:hint="eastAsia" w:ascii="宋体" w:hAnsi="宋体" w:cs="宋体"/>
          <w:sz w:val="24"/>
        </w:rPr>
        <w:t>1．报名地点： 黄石市中心医院8号楼819办公室</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电话：0714-6256679</w:t>
      </w:r>
    </w:p>
    <w:p>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25731496"/>
      <w:bookmarkStart w:id="4" w:name="_Toc355985892"/>
    </w:p>
    <w:p>
      <w:pPr>
        <w:spacing w:line="420" w:lineRule="exact"/>
        <w:ind w:firstLine="480" w:firstLineChars="200"/>
        <w:rPr>
          <w:rFonts w:ascii="宋体" w:hAnsi="宋体" w:cs="宋体"/>
          <w:sz w:val="24"/>
          <w:highlight w:val="yellow"/>
        </w:rPr>
      </w:pPr>
      <w:r>
        <w:rPr>
          <w:rFonts w:hint="eastAsia" w:ascii="宋体" w:hAnsi="宋体" w:cs="宋体"/>
          <w:sz w:val="24"/>
          <w:highlight w:val="yellow"/>
        </w:rPr>
        <w:t>4、报名时间：202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7</w:t>
      </w:r>
      <w:r>
        <w:rPr>
          <w:rFonts w:hint="eastAsia" w:ascii="宋体" w:hAnsi="宋体" w:cs="宋体"/>
          <w:sz w:val="24"/>
          <w:highlight w:val="yellow"/>
        </w:rPr>
        <w:t>月</w:t>
      </w:r>
      <w:r>
        <w:rPr>
          <w:rFonts w:hint="eastAsia" w:ascii="宋体" w:hAnsi="宋体" w:cs="宋体"/>
          <w:sz w:val="24"/>
          <w:highlight w:val="yellow"/>
          <w:lang w:val="en-US" w:eastAsia="zh-CN"/>
        </w:rPr>
        <w:t>22</w:t>
      </w:r>
      <w:r>
        <w:rPr>
          <w:rFonts w:hint="eastAsia" w:ascii="宋体" w:hAnsi="宋体" w:cs="宋体"/>
          <w:sz w:val="24"/>
          <w:highlight w:val="yellow"/>
        </w:rPr>
        <w:t>日-202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7</w:t>
      </w:r>
      <w:r>
        <w:rPr>
          <w:rFonts w:hint="eastAsia" w:ascii="宋体" w:hAnsi="宋体" w:cs="宋体"/>
          <w:sz w:val="24"/>
          <w:highlight w:val="yellow"/>
        </w:rPr>
        <w:t>月</w:t>
      </w:r>
      <w:r>
        <w:rPr>
          <w:rFonts w:hint="eastAsia" w:ascii="宋体" w:hAnsi="宋体" w:cs="宋体"/>
          <w:sz w:val="24"/>
          <w:highlight w:val="yellow"/>
          <w:lang w:val="en-US" w:eastAsia="zh-CN"/>
        </w:rPr>
        <w:t>29</w:t>
      </w:r>
      <w:bookmarkStart w:id="27" w:name="_GoBack"/>
      <w:bookmarkEnd w:id="27"/>
      <w:r>
        <w:rPr>
          <w:rFonts w:hint="eastAsia" w:ascii="宋体" w:hAnsi="宋体" w:cs="宋体"/>
          <w:sz w:val="24"/>
          <w:highlight w:val="yellow"/>
        </w:rPr>
        <w:t>日</w:t>
      </w:r>
    </w:p>
    <w:p>
      <w:pPr>
        <w:spacing w:line="420" w:lineRule="exact"/>
        <w:rPr>
          <w:rFonts w:ascii="宋体" w:cs="宋体"/>
          <w:b/>
          <w:bCs/>
          <w:sz w:val="24"/>
        </w:rPr>
      </w:pPr>
      <w:r>
        <w:rPr>
          <w:rFonts w:hint="eastAsia" w:ascii="宋体" w:hAnsi="宋体" w:cs="宋体"/>
          <w:b/>
          <w:bCs/>
          <w:sz w:val="24"/>
        </w:rPr>
        <w:t>三、开标时间：另行通知</w:t>
      </w:r>
    </w:p>
    <w:p>
      <w:pPr>
        <w:spacing w:line="420" w:lineRule="exact"/>
        <w:rPr>
          <w:rFonts w:ascii="宋体" w:hAnsi="宋体" w:cs="宋体"/>
          <w:sz w:val="24"/>
          <w:highlight w:val="yellow"/>
        </w:rPr>
      </w:pP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p>
    <w:p>
      <w:pPr>
        <w:spacing w:line="460" w:lineRule="exact"/>
        <w:jc w:val="center"/>
        <w:rPr>
          <w:b/>
        </w:rPr>
      </w:pPr>
      <w:r>
        <w:rPr>
          <w:rFonts w:hint="eastAsia" w:ascii="宋体" w:hAnsi="宋体"/>
          <w:b/>
          <w:sz w:val="32"/>
        </w:rPr>
        <w:t>第二章 竞争性谈判须知</w:t>
      </w:r>
    </w:p>
    <w:p>
      <w:pPr>
        <w:pStyle w:val="5"/>
        <w:adjustRightInd w:val="0"/>
        <w:snapToGrid w:val="0"/>
        <w:spacing w:line="500" w:lineRule="exact"/>
        <w:ind w:firstLine="472" w:firstLineChars="196"/>
        <w:rPr>
          <w:rFonts w:hAnsi="宋体"/>
          <w:b/>
          <w:sz w:val="24"/>
          <w:szCs w:val="24"/>
        </w:rPr>
      </w:pPr>
      <w:bookmarkStart w:id="5" w:name="_Toc266776856"/>
      <w:r>
        <w:rPr>
          <w:rFonts w:hint="eastAsia" w:hAnsi="宋体"/>
          <w:b/>
          <w:sz w:val="24"/>
          <w:szCs w:val="24"/>
        </w:rPr>
        <w:t>一、说明</w:t>
      </w:r>
      <w:bookmarkEnd w:id="5"/>
    </w:p>
    <w:p>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pPr>
        <w:pStyle w:val="5"/>
        <w:adjustRightInd w:val="0"/>
        <w:snapToGrid w:val="0"/>
        <w:spacing w:line="500" w:lineRule="exact"/>
        <w:ind w:firstLine="472" w:firstLineChars="196"/>
        <w:rPr>
          <w:rFonts w:hAnsi="宋体"/>
          <w:b/>
          <w:sz w:val="24"/>
          <w:szCs w:val="24"/>
        </w:rPr>
      </w:pPr>
      <w:r>
        <w:rPr>
          <w:rFonts w:hint="eastAsia" w:hAnsi="宋体"/>
          <w:b/>
          <w:sz w:val="24"/>
          <w:szCs w:val="24"/>
        </w:rPr>
        <w:t>1．适用范围</w:t>
      </w:r>
    </w:p>
    <w:p>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pPr>
        <w:spacing w:line="500" w:lineRule="exact"/>
        <w:ind w:firstLine="470" w:firstLineChars="196"/>
        <w:rPr>
          <w:rFonts w:ascii="宋体" w:hAnsi="宋体"/>
          <w:sz w:val="24"/>
        </w:rPr>
      </w:pPr>
      <w:r>
        <w:rPr>
          <w:rFonts w:hint="eastAsia" w:ascii="宋体" w:hAnsi="宋体"/>
          <w:sz w:val="24"/>
        </w:rPr>
        <w:t>1.2本竞争性谈判文件的解释权归采购单位。</w:t>
      </w:r>
    </w:p>
    <w:p>
      <w:pPr>
        <w:pStyle w:val="5"/>
        <w:adjustRightInd w:val="0"/>
        <w:snapToGrid w:val="0"/>
        <w:spacing w:line="500" w:lineRule="exact"/>
        <w:ind w:firstLine="472" w:firstLineChars="196"/>
        <w:rPr>
          <w:rFonts w:hAnsi="宋体"/>
          <w:b/>
          <w:sz w:val="24"/>
          <w:szCs w:val="24"/>
        </w:rPr>
      </w:pPr>
      <w:r>
        <w:rPr>
          <w:rFonts w:hint="eastAsia" w:hAnsi="宋体"/>
          <w:b/>
          <w:sz w:val="24"/>
          <w:szCs w:val="24"/>
        </w:rPr>
        <w:t>2.定义</w:t>
      </w:r>
    </w:p>
    <w:p>
      <w:pPr>
        <w:pStyle w:val="5"/>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rPr>
        <w:t>黄石市中心医院</w:t>
      </w:r>
      <w:r>
        <w:rPr>
          <w:rFonts w:hint="eastAsia" w:hAnsi="宋体"/>
          <w:kern w:val="0"/>
          <w:sz w:val="24"/>
          <w:szCs w:val="24"/>
        </w:rPr>
        <w:t>。</w:t>
      </w:r>
    </w:p>
    <w:p>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pPr>
        <w:pStyle w:val="5"/>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pPr>
        <w:pStyle w:val="5"/>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pPr>
        <w:pStyle w:val="5"/>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pPr>
        <w:pStyle w:val="5"/>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pPr>
        <w:pStyle w:val="5"/>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1.7供应商编制的谈判文件一式肆份，正本壹份、副本叁份，谈判文件及资料不予退还。每套谈判文件必须清楚标明“正本”、“副本”，若副本与正本不符，以正本为准。</w:t>
      </w:r>
    </w:p>
    <w:p>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pPr>
        <w:pStyle w:val="5"/>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pPr>
        <w:pStyle w:val="5"/>
        <w:adjustRightInd w:val="0"/>
        <w:snapToGrid w:val="0"/>
        <w:spacing w:line="500" w:lineRule="exact"/>
        <w:ind w:firstLine="472" w:firstLineChars="196"/>
        <w:rPr>
          <w:rFonts w:hAnsi="宋体"/>
          <w:b/>
          <w:sz w:val="24"/>
          <w:szCs w:val="24"/>
        </w:rPr>
      </w:pPr>
      <w:r>
        <w:rPr>
          <w:rFonts w:hint="eastAsia" w:hAnsi="宋体"/>
          <w:b/>
          <w:sz w:val="24"/>
          <w:szCs w:val="24"/>
        </w:rPr>
        <w:t>4. 谈判报价</w:t>
      </w:r>
    </w:p>
    <w:p>
      <w:pPr>
        <w:spacing w:line="500" w:lineRule="exact"/>
        <w:ind w:firstLine="470" w:firstLineChars="196"/>
        <w:rPr>
          <w:rFonts w:ascii="宋体" w:hAnsi="宋体"/>
          <w:sz w:val="24"/>
        </w:rPr>
      </w:pPr>
      <w:r>
        <w:rPr>
          <w:rFonts w:hint="eastAsia" w:ascii="宋体" w:hAnsi="宋体"/>
          <w:sz w:val="24"/>
        </w:rPr>
        <w:t>4.1本项目采用人民币报价。</w:t>
      </w:r>
    </w:p>
    <w:p>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pPr>
        <w:spacing w:line="500" w:lineRule="exact"/>
        <w:ind w:firstLine="470" w:firstLineChars="196"/>
        <w:rPr>
          <w:rFonts w:ascii="宋体" w:hAnsi="宋体"/>
          <w:sz w:val="24"/>
        </w:rPr>
      </w:pPr>
      <w:r>
        <w:rPr>
          <w:rFonts w:hint="eastAsia" w:ascii="宋体" w:hAnsi="宋体"/>
          <w:sz w:val="24"/>
        </w:rPr>
        <w:t>4.</w:t>
      </w:r>
      <w:r>
        <w:rPr>
          <w:rFonts w:ascii="宋体" w:hAnsi="宋体"/>
          <w:sz w:val="24"/>
        </w:rPr>
        <w:t>5</w:t>
      </w:r>
      <w:r>
        <w:rPr>
          <w:rFonts w:hint="eastAsia" w:ascii="宋体" w:hAnsi="宋体"/>
          <w:sz w:val="24"/>
        </w:rPr>
        <w:t>供应商对报价的准确性负责，任何漏报、错报等情况均由供应商承担后果。</w:t>
      </w:r>
    </w:p>
    <w:p>
      <w:pPr>
        <w:spacing w:line="500" w:lineRule="exact"/>
        <w:ind w:firstLine="470" w:firstLineChars="196"/>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采购人有权对所有谈判供应商的谈判报价进行审查，并要求谈判供应商在规定的时间内提供相关资料，谈判供应商应无条件接受。</w:t>
      </w:r>
    </w:p>
    <w:p>
      <w:pPr>
        <w:spacing w:line="500" w:lineRule="exact"/>
        <w:ind w:firstLine="472" w:firstLineChars="196"/>
        <w:rPr>
          <w:rFonts w:ascii="宋体" w:hAnsi="宋体"/>
          <w:b/>
          <w:sz w:val="24"/>
        </w:rPr>
      </w:pPr>
      <w:r>
        <w:rPr>
          <w:rFonts w:hint="eastAsia" w:ascii="宋体" w:hAnsi="宋体"/>
          <w:b/>
          <w:sz w:val="24"/>
        </w:rPr>
        <w:t>5. 备选方案</w:t>
      </w:r>
    </w:p>
    <w:p>
      <w:pPr>
        <w:pStyle w:val="5"/>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pPr>
        <w:pStyle w:val="5"/>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pPr>
        <w:spacing w:line="360" w:lineRule="auto"/>
        <w:ind w:left="-69" w:leftChars="-33" w:firstLine="480" w:firstLineChars="200"/>
        <w:rPr>
          <w:sz w:val="24"/>
        </w:rPr>
      </w:pPr>
      <w:r>
        <w:rPr>
          <w:rFonts w:hint="eastAsia"/>
          <w:sz w:val="24"/>
        </w:rPr>
        <w:t>无</w:t>
      </w:r>
    </w:p>
    <w:p>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pPr>
        <w:pStyle w:val="5"/>
        <w:spacing w:line="500" w:lineRule="exact"/>
        <w:ind w:firstLine="480" w:firstLineChars="200"/>
        <w:rPr>
          <w:rFonts w:hAnsi="宋体"/>
          <w:bCs/>
          <w:sz w:val="24"/>
          <w:szCs w:val="24"/>
        </w:rPr>
      </w:pPr>
      <w:r>
        <w:rPr>
          <w:rFonts w:hint="eastAsia" w:hAnsi="宋体"/>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pPr>
        <w:pStyle w:val="5"/>
        <w:adjustRightInd w:val="0"/>
        <w:snapToGrid w:val="0"/>
        <w:spacing w:line="500" w:lineRule="exact"/>
        <w:ind w:firstLine="470" w:firstLineChars="196"/>
        <w:rPr>
          <w:rFonts w:hAnsi="宋体"/>
          <w:kern w:val="0"/>
          <w:sz w:val="24"/>
          <w:szCs w:val="24"/>
        </w:rPr>
      </w:pPr>
      <w:r>
        <w:rPr>
          <w:rFonts w:hint="eastAsia" w:hAnsi="宋体"/>
          <w:kern w:val="0"/>
          <w:sz w:val="24"/>
          <w:szCs w:val="24"/>
        </w:rPr>
        <w:t>7.2供应商按上述要求进行密封和标记后，将</w:t>
      </w:r>
      <w:r>
        <w:rPr>
          <w:rFonts w:hint="eastAsia" w:hAnsi="宋体"/>
          <w:sz w:val="24"/>
        </w:rPr>
        <w:t>谈判文件</w:t>
      </w:r>
      <w:r>
        <w:rPr>
          <w:rFonts w:hint="eastAsia" w:hAnsi="宋体"/>
          <w:kern w:val="0"/>
          <w:sz w:val="24"/>
          <w:szCs w:val="24"/>
        </w:rPr>
        <w:t>送达指定地点。</w:t>
      </w:r>
    </w:p>
    <w:p>
      <w:pPr>
        <w:pStyle w:val="5"/>
        <w:adjustRightInd w:val="0"/>
        <w:snapToGrid w:val="0"/>
        <w:spacing w:line="500" w:lineRule="exact"/>
        <w:ind w:firstLine="470" w:firstLineChars="196"/>
        <w:rPr>
          <w:rFonts w:hAnsi="宋体"/>
          <w:kern w:val="0"/>
          <w:sz w:val="24"/>
          <w:szCs w:val="24"/>
        </w:rPr>
      </w:pPr>
      <w:r>
        <w:rPr>
          <w:rFonts w:hint="eastAsia" w:hAnsi="宋体"/>
          <w:kern w:val="0"/>
          <w:sz w:val="24"/>
          <w:szCs w:val="24"/>
        </w:rPr>
        <w:t>7.3如果未按上述规定进行密封和标记，评委不予评审。</w:t>
      </w:r>
    </w:p>
    <w:p>
      <w:pPr>
        <w:pStyle w:val="5"/>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pPr>
        <w:pStyle w:val="5"/>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kern w:val="0"/>
          <w:sz w:val="24"/>
          <w:szCs w:val="24"/>
        </w:rPr>
        <w:t>情节严重的列入不良行为记录名单。</w:t>
      </w:r>
    </w:p>
    <w:p>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pPr>
        <w:autoSpaceDE w:val="0"/>
        <w:autoSpaceDN w:val="0"/>
        <w:adjustRightInd w:val="0"/>
        <w:snapToGrid w:val="0"/>
        <w:spacing w:line="500" w:lineRule="exact"/>
        <w:ind w:right="32" w:firstLine="551" w:firstLineChars="196"/>
        <w:jc w:val="center"/>
        <w:rPr>
          <w:rFonts w:ascii="宋体" w:hAnsi="宋体"/>
          <w:b/>
          <w:kern w:val="0"/>
          <w:sz w:val="28"/>
        </w:rPr>
      </w:pPr>
    </w:p>
    <w:p>
      <w:pPr>
        <w:autoSpaceDE w:val="0"/>
        <w:autoSpaceDN w:val="0"/>
        <w:adjustRightInd w:val="0"/>
        <w:snapToGrid w:val="0"/>
        <w:spacing w:line="500" w:lineRule="exact"/>
        <w:ind w:right="32" w:firstLine="551" w:firstLineChars="196"/>
        <w:jc w:val="center"/>
        <w:rPr>
          <w:rFonts w:ascii="宋体" w:hAnsi="宋体"/>
          <w:b/>
          <w:kern w:val="0"/>
          <w:sz w:val="28"/>
        </w:rPr>
      </w:pPr>
    </w:p>
    <w:p>
      <w:pPr>
        <w:autoSpaceDE w:val="0"/>
        <w:autoSpaceDN w:val="0"/>
        <w:adjustRightInd w:val="0"/>
        <w:snapToGrid w:val="0"/>
        <w:spacing w:line="500" w:lineRule="exact"/>
        <w:ind w:right="32" w:firstLine="551" w:firstLineChars="196"/>
        <w:jc w:val="center"/>
        <w:rPr>
          <w:rFonts w:ascii="宋体" w:hAnsi="宋体"/>
          <w:b/>
          <w:kern w:val="0"/>
          <w:sz w:val="28"/>
        </w:rPr>
      </w:pPr>
    </w:p>
    <w:p>
      <w:pPr>
        <w:autoSpaceDE w:val="0"/>
        <w:autoSpaceDN w:val="0"/>
        <w:adjustRightInd w:val="0"/>
        <w:snapToGrid w:val="0"/>
        <w:spacing w:line="500" w:lineRule="exact"/>
        <w:ind w:right="32"/>
        <w:rPr>
          <w:rFonts w:ascii="宋体" w:hAnsi="宋体"/>
          <w:b/>
          <w:kern w:val="0"/>
          <w:sz w:val="28"/>
        </w:rPr>
      </w:pPr>
    </w:p>
    <w:p>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pPr>
        <w:spacing w:line="360" w:lineRule="auto"/>
        <w:ind w:firstLine="488" w:firstLineChars="196"/>
        <w:rPr>
          <w:rFonts w:ascii="宋体" w:hAnsi="宋体"/>
          <w:spacing w:val="4"/>
          <w:sz w:val="24"/>
        </w:rPr>
      </w:pPr>
      <w:r>
        <w:rPr>
          <w:rFonts w:hint="eastAsia" w:ascii="宋体" w:hAnsi="宋体"/>
          <w:b/>
          <w:spacing w:val="4"/>
          <w:sz w:val="24"/>
        </w:rPr>
        <w:t>2.评定程序</w:t>
      </w:r>
    </w:p>
    <w:p>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pPr>
        <w:spacing w:line="360" w:lineRule="auto"/>
        <w:ind w:firstLine="480" w:firstLineChars="200"/>
        <w:rPr>
          <w:rFonts w:ascii="宋体" w:hAnsi="宋体"/>
          <w:sz w:val="24"/>
        </w:rPr>
      </w:pPr>
      <w:r>
        <w:rPr>
          <w:rFonts w:hint="eastAsia" w:ascii="宋体" w:hAnsi="宋体"/>
          <w:sz w:val="24"/>
        </w:rPr>
        <w:t>2.3采购人谈判小组分别与供应商谈判。</w:t>
      </w:r>
    </w:p>
    <w:p>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pPr>
        <w:spacing w:line="360" w:lineRule="auto"/>
        <w:ind w:firstLine="472" w:firstLineChars="196"/>
        <w:rPr>
          <w:rFonts w:ascii="宋体" w:hAnsi="宋体"/>
          <w:b/>
          <w:bCs/>
          <w:sz w:val="24"/>
        </w:rPr>
      </w:pPr>
      <w:r>
        <w:rPr>
          <w:rFonts w:hint="eastAsia" w:ascii="宋体" w:hAnsi="宋体"/>
          <w:b/>
          <w:bCs/>
          <w:sz w:val="24"/>
        </w:rPr>
        <w:t>3.谈判注意事项</w:t>
      </w:r>
    </w:p>
    <w:p>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pPr>
        <w:adjustRightInd w:val="0"/>
        <w:snapToGrid w:val="0"/>
        <w:spacing w:line="360" w:lineRule="auto"/>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p>
      <w:pPr>
        <w:pStyle w:val="4"/>
        <w:spacing w:line="360" w:lineRule="auto"/>
        <w:ind w:firstLine="480" w:firstLineChars="200"/>
        <w:jc w:val="left"/>
        <w:rPr>
          <w:rFonts w:ascii="宋体" w:hAnsi="宋体"/>
          <w:b w:val="0"/>
          <w:bCs w:val="0"/>
          <w:sz w:val="24"/>
        </w:rPr>
      </w:pPr>
      <w:r>
        <w:rPr>
          <w:rFonts w:hint="eastAsia" w:ascii="宋体" w:hAnsi="宋体"/>
          <w:b w:val="0"/>
          <w:bCs w:val="0"/>
          <w:sz w:val="24"/>
        </w:rPr>
        <w:t>4.2付款方式：本工程不支付工程预付款，工程完工，经审计部门审结后，向乙方支付到97%的工程竣工结算价款，剩下的3%工程款留作质保金，一年质保期满，无质量缺陷后付清余款。</w:t>
      </w: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bookmarkEnd w:id="11"/>
    <w:p>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bookmarkEnd w:id="3"/>
      <w:bookmarkEnd w:id="4"/>
    </w:p>
    <w:p>
      <w:pPr>
        <w:spacing w:line="420" w:lineRule="exact"/>
        <w:rPr>
          <w:rFonts w:ascii="宋体" w:cs="宋体"/>
          <w:sz w:val="18"/>
          <w:szCs w:val="18"/>
        </w:rPr>
      </w:pPr>
      <w:r>
        <w:rPr>
          <w:rFonts w:hint="eastAsia" w:ascii="宋体" w:hAnsi="宋体" w:cs="宋体"/>
          <w:b/>
          <w:bCs/>
          <w:sz w:val="24"/>
        </w:rPr>
        <w:t>一、项目概况：</w:t>
      </w:r>
    </w:p>
    <w:p>
      <w:pPr>
        <w:spacing w:line="360" w:lineRule="auto"/>
        <w:ind w:left="1920" w:hanging="1920" w:hangingChars="800"/>
        <w:jc w:val="left"/>
        <w:rPr>
          <w:rFonts w:ascii="宋体" w:hAnsi="宋体" w:cs="仿宋_GB2312"/>
          <w:sz w:val="24"/>
          <w:u w:val="single"/>
        </w:rPr>
      </w:pPr>
      <w:r>
        <w:rPr>
          <w:rFonts w:hint="eastAsia" w:ascii="宋体" w:hAnsi="宋体" w:cs="仿宋_GB2312"/>
          <w:sz w:val="24"/>
        </w:rPr>
        <w:t xml:space="preserve">    1项目名称：</w:t>
      </w:r>
      <w:r>
        <w:rPr>
          <w:rFonts w:hint="eastAsia"/>
          <w:sz w:val="24"/>
        </w:rPr>
        <w:t>黄石市中心医院（普爱院区）</w:t>
      </w:r>
      <w:r>
        <w:rPr>
          <w:rFonts w:hint="eastAsia"/>
          <w:sz w:val="24"/>
          <w:lang w:val="en-US" w:eastAsia="zh-CN"/>
        </w:rPr>
        <w:t>停车场花坛处供水管道更换</w:t>
      </w:r>
      <w:r>
        <w:rPr>
          <w:rFonts w:hint="eastAsia"/>
          <w:bCs/>
          <w:sz w:val="24"/>
        </w:rPr>
        <w:t>项目</w:t>
      </w:r>
    </w:p>
    <w:p>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采购方式：竞争性谈判</w:t>
      </w:r>
    </w:p>
    <w:p>
      <w:pPr>
        <w:spacing w:line="360" w:lineRule="auto"/>
        <w:ind w:firstLine="480" w:firstLineChars="200"/>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预算金额：</w:t>
      </w:r>
      <w:r>
        <w:rPr>
          <w:rFonts w:hint="eastAsia" w:ascii="宋体" w:hAnsi="宋体" w:cs="仿宋_GB2312"/>
          <w:sz w:val="24"/>
          <w:lang w:val="en-US" w:eastAsia="zh-CN"/>
        </w:rPr>
        <w:t>2.93</w:t>
      </w:r>
      <w:r>
        <w:rPr>
          <w:rFonts w:hint="eastAsia" w:ascii="宋体" w:hAnsi="宋体" w:cs="仿宋_GB2312"/>
          <w:sz w:val="24"/>
        </w:rPr>
        <w:t>万元</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4</w:t>
      </w:r>
      <w:r>
        <w:rPr>
          <w:rFonts w:ascii="宋体" w:hAnsi="宋体" w:cs="仿宋_GB2312"/>
          <w:sz w:val="24"/>
        </w:rPr>
        <w:t>.</w:t>
      </w:r>
      <w:r>
        <w:rPr>
          <w:rFonts w:hint="eastAsia" w:ascii="宋体" w:hAnsi="宋体" w:cs="仿宋_GB2312"/>
          <w:sz w:val="24"/>
        </w:rPr>
        <w:t>控制价：</w:t>
      </w:r>
      <w:r>
        <w:rPr>
          <w:rFonts w:hint="eastAsia" w:ascii="宋体" w:hAnsi="宋体" w:cs="仿宋_GB2312"/>
          <w:sz w:val="24"/>
          <w:lang w:val="en-US" w:eastAsia="zh-CN"/>
        </w:rPr>
        <w:t>2.93</w:t>
      </w:r>
      <w:r>
        <w:rPr>
          <w:rFonts w:hint="eastAsia" w:ascii="宋体" w:hAnsi="宋体" w:cs="仿宋_GB2312"/>
          <w:sz w:val="24"/>
        </w:rPr>
        <w:t>万元</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5</w:t>
      </w:r>
      <w:r>
        <w:rPr>
          <w:rFonts w:ascii="宋体" w:hAnsi="宋体" w:cs="仿宋_GB2312"/>
          <w:sz w:val="24"/>
        </w:rPr>
        <w:t>.</w:t>
      </w:r>
      <w:r>
        <w:rPr>
          <w:rFonts w:hint="eastAsia" w:ascii="宋体" w:hAnsi="宋体" w:cs="仿宋_GB2312"/>
          <w:sz w:val="24"/>
        </w:rPr>
        <w:t>采购需求：</w:t>
      </w:r>
      <w:r>
        <w:rPr>
          <w:rFonts w:hint="eastAsia"/>
          <w:sz w:val="24"/>
          <w:lang w:val="en-US" w:eastAsia="zh-CN"/>
        </w:rPr>
        <w:t>停车场花坛处供水管道更换</w:t>
      </w:r>
      <w:r>
        <w:rPr>
          <w:rFonts w:hint="eastAsia" w:ascii="宋体" w:hAnsi="宋体" w:cs="仿宋_GB2312"/>
          <w:sz w:val="24"/>
        </w:rPr>
        <w:t>（具体内容详见谈判文件第四章采购需求、招标清单）</w:t>
      </w:r>
    </w:p>
    <w:p>
      <w:pPr>
        <w:spacing w:line="360" w:lineRule="auto"/>
        <w:ind w:firstLine="480" w:firstLineChars="200"/>
        <w:rPr>
          <w:rFonts w:ascii="宋体" w:hAnsi="宋体" w:cs="仿宋_GB2312"/>
          <w:sz w:val="24"/>
        </w:rPr>
      </w:pPr>
      <w:r>
        <w:rPr>
          <w:rFonts w:hint="eastAsia" w:ascii="宋体" w:hAnsi="宋体" w:cs="仿宋_GB2312"/>
          <w:sz w:val="24"/>
        </w:rPr>
        <w:t>6</w:t>
      </w:r>
      <w:r>
        <w:rPr>
          <w:rFonts w:ascii="宋体" w:hAnsi="宋体" w:cs="仿宋_GB2312"/>
          <w:sz w:val="24"/>
        </w:rPr>
        <w:t>.</w:t>
      </w:r>
      <w:r>
        <w:rPr>
          <w:rFonts w:hint="eastAsia" w:ascii="宋体" w:hAnsi="宋体" w:cs="仿宋_GB2312"/>
          <w:sz w:val="24"/>
        </w:rPr>
        <w:t>合同履行期限：</w:t>
      </w:r>
      <w:r>
        <w:rPr>
          <w:rFonts w:hint="eastAsia" w:ascii="宋体" w:hAnsi="宋体" w:cs="仿宋_GB2312"/>
          <w:sz w:val="24"/>
          <w:lang w:val="en-US" w:eastAsia="zh-CN"/>
        </w:rPr>
        <w:t>10</w:t>
      </w:r>
      <w:r>
        <w:rPr>
          <w:rFonts w:hint="eastAsia" w:ascii="宋体" w:hAnsi="宋体" w:cs="仿宋_GB2312"/>
          <w:sz w:val="24"/>
        </w:rPr>
        <w:t>天。</w:t>
      </w:r>
    </w:p>
    <w:p>
      <w:pPr>
        <w:spacing w:line="360" w:lineRule="auto"/>
        <w:ind w:firstLine="480" w:firstLineChars="200"/>
        <w:rPr>
          <w:rFonts w:ascii="宋体" w:hAnsi="宋体" w:cs="仿宋_GB2312"/>
          <w:sz w:val="24"/>
          <w:szCs w:val="24"/>
        </w:rPr>
      </w:pPr>
      <w:r>
        <w:rPr>
          <w:rFonts w:hint="eastAsia" w:ascii="宋体" w:hAnsi="宋体" w:cs="仿宋_GB2312"/>
          <w:sz w:val="24"/>
        </w:rPr>
        <w:t>7</w:t>
      </w:r>
      <w:r>
        <w:rPr>
          <w:rFonts w:ascii="宋体" w:hAnsi="宋体" w:cs="仿宋_GB2312"/>
          <w:sz w:val="24"/>
        </w:rPr>
        <w:t>.</w:t>
      </w:r>
      <w:r>
        <w:rPr>
          <w:rFonts w:hint="eastAsia" w:ascii="宋体" w:hAnsi="宋体" w:cs="仿宋_GB2312"/>
          <w:sz w:val="24"/>
        </w:rPr>
        <w:t>本项目（是/否）接受联合体投标：</w:t>
      </w:r>
      <w:r>
        <w:rPr>
          <w:rFonts w:hint="eastAsia" w:ascii="宋体" w:hAnsi="宋体" w:cs="仿宋_GB2312"/>
          <w:sz w:val="24"/>
          <w:szCs w:val="24"/>
        </w:rPr>
        <w:t>否</w:t>
      </w:r>
    </w:p>
    <w:p>
      <w:pPr>
        <w:pStyle w:val="11"/>
        <w:ind w:firstLine="0" w:firstLineChars="0"/>
        <w:rPr>
          <w:rFonts w:hAnsi="宋体" w:cs="仿宋_GB2312"/>
          <w:kern w:val="2"/>
          <w:sz w:val="24"/>
          <w:szCs w:val="24"/>
        </w:rPr>
      </w:pPr>
      <w:r>
        <w:rPr>
          <w:rFonts w:hint="eastAsia" w:hAnsi="宋体" w:cs="仿宋_GB2312"/>
          <w:kern w:val="2"/>
          <w:sz w:val="24"/>
          <w:szCs w:val="24"/>
        </w:rPr>
        <w:t>二、技术需求</w:t>
      </w:r>
    </w:p>
    <w:p>
      <w:pPr>
        <w:rPr>
          <w:sz w:val="24"/>
        </w:rPr>
      </w:pPr>
      <w:r>
        <w:rPr>
          <w:rFonts w:hint="eastAsia"/>
          <w:sz w:val="24"/>
        </w:rPr>
        <w:t>1、工程质量标准必须符合现行国家有关工程施工质量验收规范和标准的要求</w:t>
      </w:r>
    </w:p>
    <w:p>
      <w:pPr>
        <w:pStyle w:val="4"/>
        <w:jc w:val="left"/>
        <w:rPr>
          <w:b w:val="0"/>
          <w:bCs w:val="0"/>
          <w:sz w:val="24"/>
        </w:rPr>
      </w:pPr>
      <w:r>
        <w:rPr>
          <w:rFonts w:hint="eastAsia"/>
          <w:b w:val="0"/>
          <w:bCs w:val="0"/>
          <w:sz w:val="24"/>
        </w:rPr>
        <w:t>2、</w:t>
      </w:r>
      <w:r>
        <w:rPr>
          <w:rFonts w:hint="eastAsia"/>
          <w:sz w:val="24"/>
        </w:rPr>
        <w:t>符合</w:t>
      </w:r>
      <w:r>
        <w:rPr>
          <w:rFonts w:hint="eastAsia" w:ascii="宋体" w:hAnsi="宋体" w:cs="宋体"/>
          <w:sz w:val="24"/>
        </w:rPr>
        <w:t>《给水排水管道工程施工及验收规范》（</w:t>
      </w:r>
      <w:r>
        <w:rPr>
          <w:rFonts w:hint="eastAsia"/>
          <w:sz w:val="24"/>
        </w:rPr>
        <w:t>GB  50268-97）</w:t>
      </w:r>
      <w:bookmarkStart w:id="12" w:name="_Toc109900099"/>
      <w:bookmarkStart w:id="13" w:name="_Toc109897582"/>
      <w:bookmarkStart w:id="14" w:name="_Toc109899680"/>
      <w:bookmarkStart w:id="15" w:name="_Toc109900518"/>
      <w:bookmarkStart w:id="16" w:name="_Toc89808505"/>
    </w:p>
    <w:p/>
    <w:p/>
    <w:p/>
    <w:p/>
    <w:p/>
    <w:p/>
    <w:p/>
    <w:p/>
    <w:p/>
    <w:p/>
    <w:p/>
    <w:p/>
    <w:p/>
    <w:p/>
    <w:p/>
    <w:p/>
    <w:p/>
    <w:p/>
    <w:p/>
    <w:p/>
    <w:p/>
    <w:p/>
    <w:p/>
    <w:p/>
    <w:p/>
    <w:p/>
    <w:p/>
    <w:p/>
    <w:p/>
    <w:p/>
    <w:p/>
    <w:p/>
    <w:p/>
    <w:p/>
    <w:p/>
    <w:p>
      <w:pPr>
        <w:jc w:val="left"/>
      </w:pPr>
    </w:p>
    <w:p>
      <w:r>
        <w:rPr>
          <w:rFonts w:hint="eastAsia" w:ascii="Times New Roman" w:hAnsi="Times New Roman" w:eastAsia="宋体" w:cs="Times New Roman"/>
          <w:kern w:val="2"/>
          <w:sz w:val="21"/>
          <w:lang w:val="en-US" w:eastAsia="zh-CN" w:bidi="ar-SA"/>
        </w:rPr>
        <w:pict>
          <v:shape id="图片 2" o:spid="_x0000_s1026" type="#_x0000_t75" style="height:684.45pt;width:415.3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r>
        <w:rPr>
          <w:rFonts w:hint="eastAsia" w:ascii="Times New Roman" w:hAnsi="Times New Roman" w:eastAsia="宋体" w:cs="Times New Roman"/>
          <w:kern w:val="2"/>
          <w:sz w:val="21"/>
          <w:lang w:val="en-US" w:eastAsia="zh-CN" w:bidi="ar-SA"/>
        </w:rPr>
        <w:pict>
          <v:shape id="图片 3" o:spid="_x0000_s1027" type="#_x0000_t75" style="height:696.6pt;width:415.4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r>
        <w:rPr>
          <w:rFonts w:hint="eastAsia" w:ascii="Times New Roman" w:hAnsi="Times New Roman" w:eastAsia="宋体" w:cs="Times New Roman"/>
          <w:kern w:val="2"/>
          <w:sz w:val="21"/>
          <w:lang w:val="en-US" w:eastAsia="zh-CN" w:bidi="ar-SA"/>
        </w:rPr>
        <w:pict>
          <v:shape id="图片 4" o:spid="_x0000_s1028" type="#_x0000_t75" style="height:694pt;width:415.4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rPr>
          <w:rFonts w:hint="eastAsia" w:eastAsia="宋体"/>
          <w:lang w:eastAsia="zh-CN"/>
        </w:rPr>
      </w:pPr>
      <w:r>
        <w:rPr>
          <w:rFonts w:hint="eastAsia" w:ascii="Times New Roman" w:hAnsi="Times New Roman" w:eastAsia="宋体" w:cs="Times New Roman"/>
          <w:kern w:val="2"/>
          <w:sz w:val="21"/>
          <w:lang w:val="en-US" w:eastAsia="zh-CN" w:bidi="ar-SA"/>
        </w:rPr>
        <w:pict>
          <v:shape id="图片 5" o:spid="_x0000_s1029" type="#_x0000_t75" style="height:694.95pt;width:415.1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pStyle w:val="2"/>
        <w:spacing w:before="0" w:after="0" w:line="360" w:lineRule="auto"/>
        <w:rPr>
          <w:rFonts w:hint="eastAsia" w:ascii="微软雅黑" w:hAnsi="微软雅黑" w:eastAsia="微软雅黑"/>
          <w:szCs w:val="32"/>
          <w:lang w:eastAsia="zh-CN"/>
        </w:rPr>
      </w:pPr>
      <w:r>
        <w:rPr>
          <w:rFonts w:hint="eastAsia" w:ascii="微软雅黑" w:hAnsi="微软雅黑" w:eastAsia="微软雅黑" w:cs="Times New Roman"/>
          <w:b/>
          <w:kern w:val="2"/>
          <w:sz w:val="44"/>
          <w:szCs w:val="32"/>
          <w:lang w:val="en-US" w:eastAsia="zh-CN" w:bidi="ar-SA"/>
        </w:rPr>
        <w:pict>
          <v:shape id="图片 13" o:spid="_x0000_s1030" type="#_x0000_t75" style="height:695.75pt;width:415.3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pStyle w:val="2"/>
        <w:spacing w:before="0" w:after="0" w:line="360" w:lineRule="auto"/>
        <w:rPr>
          <w:rFonts w:hint="default" w:ascii="微软雅黑" w:hAnsi="微软雅黑" w:eastAsia="微软雅黑"/>
          <w:szCs w:val="32"/>
        </w:rPr>
      </w:pPr>
      <w:r>
        <w:rPr>
          <w:rFonts w:hint="eastAsia" w:ascii="微软雅黑" w:hAnsi="微软雅黑" w:eastAsia="微软雅黑" w:cs="Times New Roman"/>
          <w:b/>
          <w:kern w:val="2"/>
          <w:sz w:val="44"/>
          <w:szCs w:val="32"/>
          <w:lang w:val="en-US" w:eastAsia="zh-CN" w:bidi="ar-SA"/>
        </w:rPr>
        <w:pict>
          <v:shape id="图片 14" o:spid="_x0000_s1031" type="#_x0000_t75" style="height:697.4pt;width:415.2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r>
        <w:rPr>
          <w:rFonts w:ascii="微软雅黑" w:hAnsi="微软雅黑" w:eastAsia="微软雅黑"/>
          <w:szCs w:val="32"/>
        </w:rPr>
        <w:t>第五章 响应文件的格式</w:t>
      </w:r>
      <w:bookmarkEnd w:id="12"/>
      <w:bookmarkEnd w:id="13"/>
      <w:bookmarkEnd w:id="14"/>
      <w:bookmarkEnd w:id="15"/>
      <w:bookmarkEnd w:id="16"/>
    </w:p>
    <w:p>
      <w:pPr>
        <w:spacing w:line="360" w:lineRule="auto"/>
        <w:ind w:firstLine="480" w:firstLineChars="200"/>
        <w:rPr>
          <w:rFonts w:ascii="宋体" w:hAnsi="宋体" w:cs="仿宋_GB2312"/>
          <w:sz w:val="24"/>
          <w:lang w:val="zh-CN"/>
        </w:rPr>
      </w:pPr>
      <w:r>
        <w:rPr>
          <w:rFonts w:hint="eastAsia" w:ascii="宋体" w:hAnsi="宋体" w:cs="仿宋_GB2312"/>
          <w:sz w:val="24"/>
          <w:lang w:val="zh-CN"/>
        </w:rPr>
        <w:t>封面：</w:t>
      </w:r>
    </w:p>
    <w:p>
      <w:pPr>
        <w:tabs>
          <w:tab w:val="left" w:pos="1260"/>
        </w:tabs>
        <w:spacing w:line="300" w:lineRule="auto"/>
        <w:jc w:val="center"/>
        <w:rPr>
          <w:rFonts w:ascii="宋体" w:hAnsi="宋体"/>
          <w:b/>
          <w:bCs/>
          <w:spacing w:val="100"/>
          <w:sz w:val="52"/>
          <w:szCs w:val="56"/>
        </w:rPr>
      </w:pPr>
    </w:p>
    <w:p>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pPr>
        <w:autoSpaceDE w:val="0"/>
        <w:autoSpaceDN w:val="0"/>
        <w:adjustRightInd w:val="0"/>
        <w:rPr>
          <w:rFonts w:ascii="宋体" w:hAnsi="宋体"/>
        </w:rPr>
      </w:pPr>
    </w:p>
    <w:p>
      <w:pPr>
        <w:autoSpaceDE w:val="0"/>
        <w:autoSpaceDN w:val="0"/>
        <w:adjustRightInd w:val="0"/>
        <w:rPr>
          <w:rFonts w:ascii="宋体" w:hAnsi="宋体"/>
        </w:rPr>
      </w:pPr>
    </w:p>
    <w:p>
      <w:pPr>
        <w:autoSpaceDE w:val="0"/>
        <w:autoSpaceDN w:val="0"/>
        <w:adjustRightInd w:val="0"/>
        <w:jc w:val="center"/>
        <w:rPr>
          <w:rFonts w:ascii="宋体" w:hAnsi="宋体"/>
        </w:rPr>
      </w:pPr>
    </w:p>
    <w:p>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pPr>
        <w:autoSpaceDE w:val="0"/>
        <w:autoSpaceDN w:val="0"/>
        <w:adjustRightInd w:val="0"/>
        <w:rPr>
          <w:rFonts w:ascii="宋体" w:hAnsi="宋体"/>
          <w:b/>
          <w:bCs/>
          <w:sz w:val="22"/>
          <w:szCs w:val="22"/>
        </w:rPr>
      </w:pPr>
    </w:p>
    <w:p>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pPr>
        <w:autoSpaceDE w:val="0"/>
        <w:autoSpaceDN w:val="0"/>
        <w:adjustRightInd w:val="0"/>
        <w:spacing w:line="360" w:lineRule="auto"/>
        <w:ind w:firstLine="1190" w:firstLineChars="395"/>
        <w:rPr>
          <w:rFonts w:ascii="宋体" w:hAnsi="宋体"/>
          <w:szCs w:val="21"/>
        </w:rPr>
      </w:pPr>
      <w:r>
        <w:rPr>
          <w:rFonts w:hint="eastAsia" w:ascii="宋体" w:hAnsi="宋体"/>
          <w:b/>
          <w:bCs/>
          <w:sz w:val="30"/>
          <w:szCs w:val="30"/>
        </w:rPr>
        <w:t xml:space="preserve">                          </w:t>
      </w:r>
    </w:p>
    <w:p>
      <w:pPr>
        <w:autoSpaceDE w:val="0"/>
        <w:autoSpaceDN w:val="0"/>
        <w:adjustRightInd w:val="0"/>
        <w:rPr>
          <w:rFonts w:ascii="宋体" w:hAnsi="宋体"/>
          <w:szCs w:val="21"/>
        </w:rPr>
      </w:pPr>
    </w:p>
    <w:p>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pPr>
        <w:autoSpaceDE w:val="0"/>
        <w:autoSpaceDN w:val="0"/>
        <w:adjustRightInd w:val="0"/>
        <w:spacing w:line="360" w:lineRule="auto"/>
        <w:ind w:firstLine="1405" w:firstLineChars="500"/>
        <w:rPr>
          <w:rFonts w:ascii="宋体" w:hAnsi="宋体"/>
          <w:b/>
          <w:bCs/>
          <w:sz w:val="28"/>
          <w:szCs w:val="28"/>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pPr>
        <w:widowControl/>
        <w:jc w:val="center"/>
        <w:rPr>
          <w:rFonts w:ascii="宋体" w:hAnsi="宋体"/>
          <w:b/>
          <w:sz w:val="32"/>
          <w:szCs w:val="32"/>
        </w:rPr>
      </w:pPr>
      <w:r>
        <w:rPr>
          <w:rFonts w:hint="eastAsia" w:ascii="宋体" w:hAnsi="宋体"/>
          <w:b/>
          <w:sz w:val="32"/>
          <w:szCs w:val="32"/>
        </w:rPr>
        <w:t>资格自查表</w:t>
      </w:r>
    </w:p>
    <w:tbl>
      <w:tblPr>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6"/>
        <w:gridCol w:w="1808"/>
        <w:gridCol w:w="4987"/>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54" w:hRule="atLeast"/>
          <w:jc w:val="center"/>
        </w:trPr>
        <w:tc>
          <w:tcPr>
            <w:tcW w:w="416" w:type="dxa"/>
            <w:vAlign w:val="center"/>
          </w:tcPr>
          <w:p>
            <w:pPr>
              <w:widowControl/>
              <w:adjustRightInd w:val="0"/>
              <w:snapToGrid w:val="0"/>
              <w:jc w:val="center"/>
              <w:rPr>
                <w:rFonts w:ascii="宋体" w:hAnsi="宋体" w:cs="宋体"/>
                <w:szCs w:val="21"/>
              </w:rPr>
            </w:pPr>
            <w:r>
              <w:rPr>
                <w:rFonts w:hint="eastAsia" w:ascii="宋体" w:hAnsi="宋体" w:cs="宋体"/>
                <w:szCs w:val="21"/>
              </w:rPr>
              <w:t>序号</w:t>
            </w:r>
          </w:p>
        </w:tc>
        <w:tc>
          <w:tcPr>
            <w:tcW w:w="1808" w:type="dxa"/>
            <w:vAlign w:val="center"/>
          </w:tcPr>
          <w:p>
            <w:pPr>
              <w:adjustRightInd w:val="0"/>
              <w:snapToGrid w:val="0"/>
              <w:jc w:val="center"/>
              <w:rPr>
                <w:rFonts w:ascii="宋体" w:hAnsi="宋体" w:cs="宋体"/>
                <w:szCs w:val="21"/>
              </w:rPr>
            </w:pPr>
            <w:r>
              <w:rPr>
                <w:rFonts w:hint="eastAsia" w:ascii="宋体" w:hAnsi="宋体" w:cs="宋体"/>
                <w:szCs w:val="21"/>
              </w:rPr>
              <w:t>资格要求</w:t>
            </w:r>
          </w:p>
        </w:tc>
        <w:tc>
          <w:tcPr>
            <w:tcW w:w="4987" w:type="dxa"/>
            <w:vAlign w:val="center"/>
          </w:tcPr>
          <w:p>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0" w:type="dxa"/>
            <w:vAlign w:val="top"/>
          </w:tcPr>
          <w:p>
            <w:pPr>
              <w:widowControl/>
              <w:adjustRightInd w:val="0"/>
              <w:snapToGrid w:val="0"/>
              <w:jc w:val="center"/>
              <w:rPr>
                <w:rFonts w:ascii="宋体" w:hAnsi="宋体" w:cs="宋体"/>
                <w:szCs w:val="21"/>
              </w:rPr>
            </w:pPr>
            <w:r>
              <w:rPr>
                <w:rFonts w:hint="eastAsia" w:ascii="宋体" w:hAnsi="宋体" w:cs="宋体"/>
                <w:szCs w:val="21"/>
              </w:rPr>
              <w:t>响应文件对应页码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54" w:hRule="atLeast"/>
          <w:jc w:val="center"/>
        </w:trPr>
        <w:tc>
          <w:tcPr>
            <w:tcW w:w="416" w:type="dxa"/>
            <w:vMerge w:val="restart"/>
            <w:vAlign w:val="center"/>
          </w:tcPr>
          <w:p>
            <w:pPr>
              <w:widowControl/>
              <w:numPr>
                <w:ilvl w:val="0"/>
                <w:numId w:val="1"/>
              </w:numPr>
              <w:adjustRightInd w:val="0"/>
              <w:snapToGrid w:val="0"/>
              <w:rPr>
                <w:rFonts w:ascii="宋体" w:hAnsi="宋体" w:cs="宋体"/>
                <w:szCs w:val="21"/>
              </w:rPr>
            </w:pPr>
          </w:p>
        </w:tc>
        <w:tc>
          <w:tcPr>
            <w:tcW w:w="1808" w:type="dxa"/>
            <w:vAlign w:val="center"/>
          </w:tcPr>
          <w:p>
            <w:pPr>
              <w:snapToGrid w:val="0"/>
              <w:rPr>
                <w:rFonts w:ascii="宋体" w:hAnsi="宋体"/>
                <w:szCs w:val="21"/>
                <w:lang/>
              </w:rPr>
            </w:pPr>
            <w:r>
              <w:rPr>
                <w:rFonts w:hint="eastAsia" w:ascii="宋体" w:hAnsi="宋体"/>
                <w:szCs w:val="21"/>
                <w:lang/>
              </w:rPr>
              <w:t xml:space="preserve">具有独立承担民事责任的能力 </w:t>
            </w:r>
          </w:p>
        </w:tc>
        <w:tc>
          <w:tcPr>
            <w:tcW w:w="4987" w:type="dxa"/>
            <w:vAlign w:val="center"/>
          </w:tcPr>
          <w:p>
            <w:pPr>
              <w:snapToGrid w:val="0"/>
              <w:rPr>
                <w:rFonts w:ascii="宋体" w:hAnsi="宋体"/>
                <w:bCs/>
                <w:szCs w:val="21"/>
              </w:rPr>
            </w:pPr>
            <w:r>
              <w:rPr>
                <w:rFonts w:hint="eastAsia" w:ascii="宋体" w:hAnsi="宋体"/>
                <w:bCs/>
                <w:szCs w:val="21"/>
              </w:rPr>
              <w:t>应提供在工商部门注册的有效营业执照</w:t>
            </w:r>
          </w:p>
        </w:tc>
        <w:tc>
          <w:tcPr>
            <w:tcW w:w="1090" w:type="dxa"/>
            <w:vAlign w:val="top"/>
          </w:tcPr>
          <w:p>
            <w:pPr>
              <w:snapToGrid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54" w:hRule="atLeast"/>
          <w:jc w:val="center"/>
        </w:trPr>
        <w:tc>
          <w:tcPr>
            <w:tcW w:w="416" w:type="dxa"/>
            <w:vMerge w:val="continue"/>
            <w:vAlign w:val="center"/>
          </w:tcPr>
          <w:p>
            <w:pPr>
              <w:widowControl/>
              <w:numPr>
                <w:ilvl w:val="0"/>
                <w:numId w:val="1"/>
              </w:numPr>
              <w:adjustRightInd w:val="0"/>
              <w:snapToGrid w:val="0"/>
              <w:rPr>
                <w:rFonts w:ascii="宋体" w:hAnsi="宋体" w:cs="宋体"/>
                <w:szCs w:val="21"/>
              </w:rPr>
            </w:pPr>
          </w:p>
        </w:tc>
        <w:tc>
          <w:tcPr>
            <w:tcW w:w="1808" w:type="dxa"/>
            <w:vAlign w:val="center"/>
          </w:tcPr>
          <w:p>
            <w:pPr>
              <w:widowControl/>
              <w:adjustRightInd w:val="0"/>
              <w:snapToGrid w:val="0"/>
              <w:rPr>
                <w:rFonts w:ascii="宋体" w:hAnsi="宋体" w:cs="宋体"/>
                <w:szCs w:val="21"/>
              </w:rPr>
            </w:pPr>
            <w:r>
              <w:rPr>
                <w:rFonts w:hint="eastAsia" w:ascii="宋体" w:hAnsi="宋体"/>
                <w:szCs w:val="21"/>
                <w:lang/>
              </w:rPr>
              <w:t>具有良好的商业信誉和健全的财务会计制度</w:t>
            </w:r>
          </w:p>
        </w:tc>
        <w:tc>
          <w:tcPr>
            <w:tcW w:w="4987" w:type="dxa"/>
            <w:vAlign w:val="center"/>
          </w:tcPr>
          <w:p>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w:t>
            </w:r>
            <w:r>
              <w:rPr>
                <w:rFonts w:ascii="宋体" w:hAnsi="宋体"/>
                <w:bCs/>
                <w:szCs w:val="21"/>
              </w:rPr>
              <w:t>2</w:t>
            </w:r>
            <w:r>
              <w:rPr>
                <w:rFonts w:hint="eastAsia" w:ascii="宋体" w:hAnsi="宋体"/>
                <w:bCs/>
                <w:szCs w:val="21"/>
                <w:lang w:val="en-US" w:eastAsia="zh-CN"/>
              </w:rPr>
              <w:t>3</w:t>
            </w:r>
            <w:r>
              <w:rPr>
                <w:rFonts w:hint="eastAsia" w:ascii="宋体" w:hAnsi="宋体"/>
                <w:bCs/>
                <w:szCs w:val="21"/>
              </w:rPr>
              <w:t>年度或202</w:t>
            </w:r>
            <w:r>
              <w:rPr>
                <w:rFonts w:hint="eastAsia" w:ascii="宋体" w:hAnsi="宋体"/>
                <w:bCs/>
                <w:szCs w:val="21"/>
                <w:lang w:val="en-US" w:eastAsia="zh-CN"/>
              </w:rPr>
              <w:t>4</w:t>
            </w:r>
            <w:r>
              <w:rPr>
                <w:rFonts w:hint="eastAsia" w:ascii="宋体" w:hAnsi="宋体"/>
                <w:bCs/>
                <w:szCs w:val="21"/>
              </w:rPr>
              <w:t>年度）</w:t>
            </w:r>
            <w:r>
              <w:rPr>
                <w:rFonts w:ascii="宋体" w:hAnsi="宋体"/>
                <w:bCs/>
                <w:szCs w:val="21"/>
              </w:rPr>
              <w:t>经审计的财务报告，或其基本开户银行出具的资信证明。其他组织和自然人，没有经审计的财务报告，</w:t>
            </w:r>
            <w:r>
              <w:rPr>
                <w:rFonts w:hint="eastAsia" w:ascii="宋体" w:hAnsi="宋体"/>
                <w:bCs/>
                <w:szCs w:val="21"/>
              </w:rPr>
              <w:t>应具有</w:t>
            </w:r>
            <w:r>
              <w:rPr>
                <w:rFonts w:ascii="宋体" w:hAnsi="宋体"/>
                <w:bCs/>
                <w:szCs w:val="21"/>
              </w:rPr>
              <w:t>银行出具的资信证明。</w:t>
            </w:r>
          </w:p>
          <w:p>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tc>
        <w:tc>
          <w:tcPr>
            <w:tcW w:w="1090" w:type="dxa"/>
            <w:vAlign w:val="top"/>
          </w:tcPr>
          <w:p>
            <w:pPr>
              <w:snapToGrid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54" w:hRule="atLeast"/>
          <w:jc w:val="center"/>
        </w:trPr>
        <w:tc>
          <w:tcPr>
            <w:tcW w:w="416" w:type="dxa"/>
            <w:vMerge w:val="continue"/>
            <w:vAlign w:val="center"/>
          </w:tcPr>
          <w:p>
            <w:pPr>
              <w:widowControl/>
              <w:numPr>
                <w:ilvl w:val="0"/>
                <w:numId w:val="1"/>
              </w:numPr>
              <w:adjustRightInd w:val="0"/>
              <w:snapToGrid w:val="0"/>
              <w:rPr>
                <w:rFonts w:ascii="宋体" w:hAnsi="宋体" w:cs="宋体"/>
                <w:szCs w:val="21"/>
              </w:rPr>
            </w:pPr>
          </w:p>
        </w:tc>
        <w:tc>
          <w:tcPr>
            <w:tcW w:w="1808" w:type="dxa"/>
            <w:vAlign w:val="center"/>
          </w:tcPr>
          <w:p>
            <w:pPr>
              <w:widowControl/>
              <w:adjustRightInd w:val="0"/>
              <w:snapToGrid w:val="0"/>
              <w:rPr>
                <w:rFonts w:ascii="宋体" w:hAnsi="宋体"/>
                <w:szCs w:val="21"/>
                <w:lang/>
              </w:rPr>
            </w:pPr>
            <w:r>
              <w:rPr>
                <w:rFonts w:hint="eastAsia" w:ascii="宋体" w:hAnsi="宋体"/>
                <w:szCs w:val="21"/>
                <w:lang/>
              </w:rPr>
              <w:t>具有履行合同所必需的设备和专业技术能力</w:t>
            </w:r>
          </w:p>
        </w:tc>
        <w:tc>
          <w:tcPr>
            <w:tcW w:w="4987" w:type="dxa"/>
            <w:vAlign w:val="center"/>
          </w:tcPr>
          <w:p>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0" w:type="dxa"/>
            <w:vAlign w:val="top"/>
          </w:tcPr>
          <w:p>
            <w:pPr>
              <w:snapToGrid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54" w:hRule="atLeast"/>
          <w:jc w:val="center"/>
        </w:trPr>
        <w:tc>
          <w:tcPr>
            <w:tcW w:w="416" w:type="dxa"/>
            <w:vMerge w:val="continue"/>
            <w:vAlign w:val="center"/>
          </w:tcPr>
          <w:p>
            <w:pPr>
              <w:widowControl/>
              <w:numPr>
                <w:ilvl w:val="0"/>
                <w:numId w:val="1"/>
              </w:numPr>
              <w:adjustRightInd w:val="0"/>
              <w:snapToGrid w:val="0"/>
              <w:rPr>
                <w:rFonts w:ascii="宋体" w:hAnsi="宋体" w:cs="宋体"/>
                <w:szCs w:val="21"/>
              </w:rPr>
            </w:pPr>
          </w:p>
        </w:tc>
        <w:tc>
          <w:tcPr>
            <w:tcW w:w="1808" w:type="dxa"/>
            <w:vAlign w:val="center"/>
          </w:tcPr>
          <w:p>
            <w:pPr>
              <w:widowControl/>
              <w:adjustRightInd w:val="0"/>
              <w:snapToGrid w:val="0"/>
              <w:rPr>
                <w:rFonts w:ascii="宋体" w:hAnsi="宋体"/>
                <w:szCs w:val="21"/>
                <w:lang/>
              </w:rPr>
            </w:pPr>
            <w:r>
              <w:rPr>
                <w:rFonts w:hint="eastAsia" w:ascii="宋体" w:hAnsi="宋体"/>
                <w:szCs w:val="21"/>
                <w:lang/>
              </w:rPr>
              <w:t>有依法缴纳税收和社会保障资金的良好记录</w:t>
            </w:r>
          </w:p>
        </w:tc>
        <w:tc>
          <w:tcPr>
            <w:tcW w:w="4987" w:type="dxa"/>
            <w:vAlign w:val="center"/>
          </w:tcPr>
          <w:p>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pPr>
              <w:adjustRightInd w:val="0"/>
              <w:snapToGrid w:val="0"/>
              <w:ind w:firstLine="420" w:firstLineChars="200"/>
              <w:rPr>
                <w:rFonts w:ascii="宋体" w:hAnsi="宋体"/>
                <w:szCs w:val="21"/>
                <w:lang/>
              </w:rPr>
            </w:pPr>
            <w:r>
              <w:rPr>
                <w:rFonts w:hint="eastAsia" w:ascii="宋体" w:hAnsi="宋体"/>
                <w:szCs w:val="21"/>
                <w:lang/>
              </w:rPr>
              <w:t>供应商依法缴纳税收：本项目公告发布时间前</w:t>
            </w:r>
            <w:r>
              <w:rPr>
                <w:rFonts w:hint="eastAsia" w:ascii="宋体" w:hAnsi="宋体"/>
                <w:szCs w:val="21"/>
              </w:rPr>
              <w:t>12个月内</w:t>
            </w:r>
            <w:r>
              <w:rPr>
                <w:rFonts w:hint="eastAsia" w:ascii="宋体" w:hAnsi="宋体"/>
                <w:szCs w:val="21"/>
                <w:lang/>
              </w:rPr>
              <w:t>（至少有1个月）缴纳税收的凭据（完税证、缴款书、印花税票、银行代扣（代缴）转账凭证等均可）；</w:t>
            </w:r>
          </w:p>
          <w:p>
            <w:pPr>
              <w:adjustRightInd w:val="0"/>
              <w:snapToGrid w:val="0"/>
              <w:ind w:firstLine="420" w:firstLineChars="200"/>
              <w:rPr>
                <w:rFonts w:ascii="宋体" w:hAnsi="宋体"/>
                <w:szCs w:val="21"/>
                <w:lang/>
              </w:rPr>
            </w:pPr>
            <w:r>
              <w:rPr>
                <w:rFonts w:hint="eastAsia" w:ascii="宋体" w:hAnsi="宋体"/>
                <w:szCs w:val="21"/>
                <w:lang/>
              </w:rPr>
              <w:t>供应商依法缴纳社会保障资金：本项目公告发布时间前</w:t>
            </w:r>
            <w:r>
              <w:rPr>
                <w:rFonts w:hint="eastAsia" w:ascii="宋体" w:hAnsi="宋体"/>
                <w:szCs w:val="21"/>
              </w:rPr>
              <w:t>12个月内</w:t>
            </w:r>
            <w:r>
              <w:rPr>
                <w:rFonts w:hint="eastAsia" w:ascii="宋体" w:hAnsi="宋体"/>
                <w:szCs w:val="21"/>
                <w:lang/>
              </w:rPr>
              <w:t>（至少有1个月）缴纳社会保险的凭据（专用收据或社会保险交纳清单）；</w:t>
            </w:r>
          </w:p>
          <w:p>
            <w:pPr>
              <w:adjustRightInd w:val="0"/>
              <w:snapToGrid w:val="0"/>
              <w:ind w:firstLine="420" w:firstLineChars="200"/>
              <w:rPr>
                <w:rFonts w:ascii="宋体" w:hAnsi="宋体"/>
                <w:szCs w:val="21"/>
                <w:lang/>
              </w:rPr>
            </w:pPr>
            <w:r>
              <w:rPr>
                <w:rFonts w:hint="eastAsia" w:ascii="宋体" w:hAnsi="宋体"/>
                <w:szCs w:val="21"/>
                <w:lang/>
              </w:rPr>
              <w:t>供应商为其他组织或自然人的，也应满足</w:t>
            </w:r>
            <w:r>
              <w:rPr>
                <w:rFonts w:ascii="宋体" w:hAnsi="宋体"/>
                <w:szCs w:val="21"/>
                <w:lang/>
              </w:rPr>
              <w:t>以上</w:t>
            </w:r>
            <w:r>
              <w:rPr>
                <w:rFonts w:hint="eastAsia" w:ascii="宋体" w:hAnsi="宋体"/>
                <w:szCs w:val="21"/>
                <w:lang/>
              </w:rPr>
              <w:t>要求；</w:t>
            </w:r>
          </w:p>
          <w:p>
            <w:pPr>
              <w:adjustRightInd w:val="0"/>
              <w:snapToGrid w:val="0"/>
              <w:ind w:firstLine="420" w:firstLineChars="200"/>
              <w:rPr>
                <w:rFonts w:ascii="宋体" w:hAnsi="宋体"/>
                <w:szCs w:val="21"/>
                <w:lang/>
              </w:rPr>
            </w:pPr>
            <w:r>
              <w:rPr>
                <w:rFonts w:hint="eastAsia" w:ascii="宋体" w:hAnsi="宋体"/>
                <w:szCs w:val="21"/>
                <w:lang/>
              </w:rPr>
              <w:t>递交投标文件截止时间的当月成立但因税务机关原因导致其尚未依法缴纳税收的供应商，提供将依法缴纳税收承诺书原件（格式自拟），该承诺书视同税收缴纳凭据。</w:t>
            </w:r>
          </w:p>
          <w:p>
            <w:pPr>
              <w:adjustRightInd w:val="0"/>
              <w:snapToGrid w:val="0"/>
              <w:ind w:firstLine="420" w:firstLineChars="200"/>
              <w:rPr>
                <w:rFonts w:ascii="宋体" w:hAnsi="宋体"/>
                <w:szCs w:val="21"/>
                <w:lang/>
              </w:rPr>
            </w:pPr>
            <w:r>
              <w:rPr>
                <w:rFonts w:hint="eastAsia" w:ascii="宋体" w:hAnsi="宋体"/>
                <w:szCs w:val="21"/>
                <w:lang/>
              </w:rPr>
              <w:t>递交投标文件截止时间的当月成立但因社会保障资金管理机关原因导致其尚未依法缴纳社会保障资金的供应商，提供将依法缴纳社会保障资金承诺书原件（格式自拟），该承诺书视同社会保险凭据。</w:t>
            </w:r>
          </w:p>
          <w:p>
            <w:pPr>
              <w:adjustRightInd w:val="0"/>
              <w:snapToGrid w:val="0"/>
              <w:ind w:firstLine="420" w:firstLineChars="200"/>
              <w:rPr>
                <w:rFonts w:ascii="宋体" w:hAnsi="宋体"/>
                <w:szCs w:val="21"/>
                <w:lang/>
              </w:rPr>
            </w:pPr>
            <w:r>
              <w:rPr>
                <w:rFonts w:hint="eastAsia" w:ascii="宋体" w:hAnsi="宋体"/>
                <w:szCs w:val="21"/>
                <w:lang/>
              </w:rPr>
              <w:t>依法免税或不需要缴纳社会保障资金的供应商，具有相应文件证明其依法免税或不需要交纳社会保障资金。</w:t>
            </w:r>
          </w:p>
          <w:p>
            <w:pPr>
              <w:adjustRightInd w:val="0"/>
              <w:snapToGrid w:val="0"/>
              <w:ind w:firstLine="422" w:firstLineChars="200"/>
              <w:rPr>
                <w:rFonts w:ascii="宋体" w:hAnsi="宋体"/>
                <w:b/>
                <w:bCs/>
                <w:szCs w:val="21"/>
              </w:rPr>
            </w:pPr>
            <w:r>
              <w:rPr>
                <w:rFonts w:hint="eastAsia" w:ascii="宋体" w:hAnsi="宋体"/>
                <w:b/>
                <w:szCs w:val="21"/>
                <w:lang/>
              </w:rPr>
              <w:t>备注：如果供应商同时提供了1）书面承诺及声明、2）相应证明材料，且二者内容不一致的，评审专家有权任选其中一种进行评审，由供应商自行承担一切后果。</w:t>
            </w:r>
          </w:p>
        </w:tc>
        <w:tc>
          <w:tcPr>
            <w:tcW w:w="1090" w:type="dxa"/>
            <w:vAlign w:val="top"/>
          </w:tcPr>
          <w:p>
            <w:pPr>
              <w:snapToGrid w:val="0"/>
              <w:spacing w:line="300" w:lineRule="auto"/>
              <w:ind w:firstLine="315" w:firstLineChars="15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54" w:hRule="atLeast"/>
          <w:jc w:val="center"/>
        </w:trPr>
        <w:tc>
          <w:tcPr>
            <w:tcW w:w="416" w:type="dxa"/>
            <w:vMerge w:val="continue"/>
            <w:vAlign w:val="center"/>
          </w:tcPr>
          <w:p>
            <w:pPr>
              <w:widowControl/>
              <w:numPr>
                <w:ilvl w:val="0"/>
                <w:numId w:val="1"/>
              </w:numPr>
              <w:adjustRightInd w:val="0"/>
              <w:snapToGrid w:val="0"/>
              <w:rPr>
                <w:rFonts w:ascii="宋体" w:hAnsi="宋体" w:cs="宋体"/>
                <w:szCs w:val="21"/>
              </w:rPr>
            </w:pPr>
          </w:p>
        </w:tc>
        <w:tc>
          <w:tcPr>
            <w:tcW w:w="1808" w:type="dxa"/>
            <w:vAlign w:val="center"/>
          </w:tcPr>
          <w:p>
            <w:pPr>
              <w:widowControl/>
              <w:adjustRightInd w:val="0"/>
              <w:snapToGrid w:val="0"/>
              <w:rPr>
                <w:rFonts w:ascii="宋体" w:hAnsi="宋体"/>
                <w:szCs w:val="21"/>
                <w:lang/>
              </w:rPr>
            </w:pPr>
            <w:r>
              <w:rPr>
                <w:rFonts w:hint="eastAsia" w:ascii="宋体" w:hAnsi="宋体"/>
                <w:szCs w:val="21"/>
                <w:lang/>
              </w:rPr>
              <w:t>参加政府采购活动前三年内，在经营活动中没有重大违法记录</w:t>
            </w:r>
          </w:p>
        </w:tc>
        <w:tc>
          <w:tcPr>
            <w:tcW w:w="4987" w:type="dxa"/>
            <w:vAlign w:val="center"/>
          </w:tcPr>
          <w:p>
            <w:pPr>
              <w:widowControl/>
              <w:adjustRightInd w:val="0"/>
              <w:snapToGrid w:val="0"/>
              <w:rPr>
                <w:rFonts w:ascii="宋体" w:hAnsi="宋体"/>
                <w:szCs w:val="21"/>
                <w:lang/>
              </w:rPr>
            </w:pPr>
            <w:r>
              <w:rPr>
                <w:rFonts w:hint="eastAsia" w:ascii="宋体" w:hAnsi="宋体"/>
                <w:bCs/>
                <w:szCs w:val="21"/>
              </w:rPr>
              <w:t>由供应商提供书面承诺及声明</w:t>
            </w:r>
            <w:r>
              <w:t>，或提供相应证明材料。</w:t>
            </w:r>
          </w:p>
        </w:tc>
        <w:tc>
          <w:tcPr>
            <w:tcW w:w="1090" w:type="dxa"/>
            <w:vAlign w:val="top"/>
          </w:tcPr>
          <w:p>
            <w:pPr>
              <w:widowControl/>
              <w:adjustRightInd w:val="0"/>
              <w:snapToGrid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54" w:hRule="atLeast"/>
          <w:jc w:val="center"/>
        </w:trPr>
        <w:tc>
          <w:tcPr>
            <w:tcW w:w="416" w:type="dxa"/>
            <w:vMerge w:val="continue"/>
            <w:vAlign w:val="center"/>
          </w:tcPr>
          <w:p>
            <w:pPr>
              <w:widowControl/>
              <w:numPr>
                <w:ilvl w:val="0"/>
                <w:numId w:val="1"/>
              </w:numPr>
              <w:adjustRightInd w:val="0"/>
              <w:snapToGrid w:val="0"/>
              <w:rPr>
                <w:rFonts w:ascii="宋体" w:hAnsi="宋体" w:cs="宋体"/>
                <w:szCs w:val="21"/>
              </w:rPr>
            </w:pPr>
          </w:p>
        </w:tc>
        <w:tc>
          <w:tcPr>
            <w:tcW w:w="1808" w:type="dxa"/>
            <w:vAlign w:val="center"/>
          </w:tcPr>
          <w:p>
            <w:pPr>
              <w:widowControl/>
              <w:adjustRightInd w:val="0"/>
              <w:snapToGrid w:val="0"/>
              <w:rPr>
                <w:rFonts w:ascii="宋体" w:hAnsi="宋体"/>
                <w:szCs w:val="21"/>
                <w:lang/>
              </w:rPr>
            </w:pPr>
            <w:r>
              <w:rPr>
                <w:rFonts w:hint="eastAsia" w:ascii="宋体" w:hAnsi="宋体"/>
                <w:szCs w:val="21"/>
                <w:lang/>
              </w:rPr>
              <w:t>法律、行政法规规定的其他条件</w:t>
            </w:r>
          </w:p>
        </w:tc>
        <w:tc>
          <w:tcPr>
            <w:tcW w:w="4987" w:type="dxa"/>
            <w:vAlign w:val="center"/>
          </w:tcPr>
          <w:p>
            <w:pPr>
              <w:widowControl/>
              <w:adjustRightInd w:val="0"/>
              <w:snapToGrid w:val="0"/>
              <w:rPr>
                <w:rFonts w:ascii="宋体" w:hAnsi="宋体"/>
                <w:szCs w:val="21"/>
                <w:lang/>
              </w:rPr>
            </w:pPr>
            <w:r>
              <w:rPr>
                <w:rFonts w:hint="eastAsia" w:ascii="宋体" w:hAnsi="宋体"/>
                <w:bCs/>
                <w:szCs w:val="21"/>
              </w:rPr>
              <w:t>由供应商提供书面承诺及声明</w:t>
            </w:r>
            <w:r>
              <w:t>，或提供相应证明材料。</w:t>
            </w:r>
          </w:p>
        </w:tc>
        <w:tc>
          <w:tcPr>
            <w:tcW w:w="1090" w:type="dxa"/>
            <w:vAlign w:val="top"/>
          </w:tcPr>
          <w:p>
            <w:pPr>
              <w:widowControl/>
              <w:adjustRightInd w:val="0"/>
              <w:snapToGrid w:val="0"/>
              <w:rPr>
                <w:rFonts w:ascii="宋体" w:hAnsi="宋体"/>
                <w:szCs w:val="21"/>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54" w:hRule="atLeast"/>
          <w:jc w:val="center"/>
        </w:trPr>
        <w:tc>
          <w:tcPr>
            <w:tcW w:w="416" w:type="dxa"/>
            <w:vAlign w:val="center"/>
          </w:tcPr>
          <w:p>
            <w:pPr>
              <w:widowControl/>
              <w:numPr>
                <w:ilvl w:val="0"/>
                <w:numId w:val="1"/>
              </w:numPr>
              <w:adjustRightInd w:val="0"/>
              <w:snapToGrid w:val="0"/>
              <w:rPr>
                <w:rFonts w:ascii="宋体" w:hAnsi="宋体" w:cs="宋体"/>
                <w:szCs w:val="21"/>
              </w:rPr>
            </w:pPr>
          </w:p>
        </w:tc>
        <w:tc>
          <w:tcPr>
            <w:tcW w:w="1808" w:type="dxa"/>
            <w:vAlign w:val="center"/>
          </w:tcPr>
          <w:p>
            <w:pPr>
              <w:widowControl/>
              <w:adjustRightInd w:val="0"/>
              <w:snapToGrid w:val="0"/>
              <w:rPr>
                <w:rFonts w:ascii="宋体" w:hAnsi="宋体"/>
                <w:szCs w:val="21"/>
                <w:lang/>
              </w:rPr>
            </w:pPr>
            <w:r>
              <w:rPr>
                <w:rFonts w:hint="eastAsia" w:ascii="宋体" w:hAnsi="宋体" w:cs="宋体"/>
                <w:szCs w:val="21"/>
              </w:rPr>
              <w:t>单位负责人为同一人或者存在直接控股、管理关系的不同的投标人，不得参加本项目同一合同项下的政府采购活动</w:t>
            </w:r>
          </w:p>
        </w:tc>
        <w:tc>
          <w:tcPr>
            <w:tcW w:w="4987" w:type="dxa"/>
            <w:vAlign w:val="center"/>
          </w:tcPr>
          <w:p>
            <w:pPr>
              <w:widowControl/>
              <w:adjustRightInd w:val="0"/>
              <w:snapToGrid w:val="0"/>
              <w:rPr>
                <w:rFonts w:ascii="宋体" w:hAnsi="宋体"/>
                <w:szCs w:val="21"/>
                <w:lang/>
              </w:rPr>
            </w:pPr>
            <w:r>
              <w:rPr>
                <w:rFonts w:hint="eastAsia" w:ascii="宋体" w:hAnsi="宋体"/>
                <w:szCs w:val="21"/>
                <w:lang/>
              </w:rPr>
              <w:t>由供应商在《响应函》中声明</w:t>
            </w:r>
          </w:p>
        </w:tc>
        <w:tc>
          <w:tcPr>
            <w:tcW w:w="1090" w:type="dxa"/>
            <w:vAlign w:val="top"/>
          </w:tcPr>
          <w:p>
            <w:pPr>
              <w:widowControl/>
              <w:adjustRightInd w:val="0"/>
              <w:snapToGrid w:val="0"/>
              <w:rPr>
                <w:rFonts w:ascii="宋体" w:hAnsi="宋体"/>
                <w:szCs w:val="21"/>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54" w:hRule="atLeast"/>
          <w:jc w:val="center"/>
        </w:trPr>
        <w:tc>
          <w:tcPr>
            <w:tcW w:w="416" w:type="dxa"/>
            <w:vAlign w:val="center"/>
          </w:tcPr>
          <w:p>
            <w:pPr>
              <w:widowControl/>
              <w:numPr>
                <w:ilvl w:val="0"/>
                <w:numId w:val="1"/>
              </w:numPr>
              <w:adjustRightInd w:val="0"/>
              <w:snapToGrid w:val="0"/>
              <w:rPr>
                <w:rFonts w:ascii="宋体" w:hAnsi="宋体" w:cs="宋体"/>
                <w:szCs w:val="21"/>
              </w:rPr>
            </w:pPr>
          </w:p>
        </w:tc>
        <w:tc>
          <w:tcPr>
            <w:tcW w:w="1808" w:type="dxa"/>
            <w:vAlign w:val="center"/>
          </w:tcPr>
          <w:p>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4987" w:type="dxa"/>
            <w:vAlign w:val="center"/>
          </w:tcPr>
          <w:p>
            <w:pPr>
              <w:widowControl/>
              <w:adjustRightInd w:val="0"/>
              <w:snapToGrid w:val="0"/>
              <w:rPr>
                <w:rFonts w:ascii="宋体" w:hAnsi="宋体"/>
                <w:szCs w:val="21"/>
                <w:lang/>
              </w:rPr>
            </w:pPr>
            <w:r>
              <w:rPr>
                <w:rFonts w:hint="eastAsia" w:ascii="宋体" w:hAnsi="宋体"/>
                <w:szCs w:val="21"/>
                <w:lang/>
              </w:rPr>
              <w:t>由供应商在《响应函》中声明</w:t>
            </w:r>
          </w:p>
        </w:tc>
        <w:tc>
          <w:tcPr>
            <w:tcW w:w="1090" w:type="dxa"/>
            <w:vAlign w:val="top"/>
          </w:tcPr>
          <w:p>
            <w:pPr>
              <w:widowControl/>
              <w:adjustRightInd w:val="0"/>
              <w:snapToGrid w:val="0"/>
              <w:rPr>
                <w:rFonts w:ascii="宋体" w:hAnsi="宋体"/>
                <w:szCs w:val="21"/>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54" w:hRule="atLeast"/>
          <w:jc w:val="center"/>
        </w:trPr>
        <w:tc>
          <w:tcPr>
            <w:tcW w:w="416" w:type="dxa"/>
            <w:vAlign w:val="center"/>
          </w:tcPr>
          <w:p>
            <w:pPr>
              <w:widowControl/>
              <w:numPr>
                <w:ilvl w:val="0"/>
                <w:numId w:val="1"/>
              </w:numPr>
              <w:adjustRightInd w:val="0"/>
              <w:snapToGrid w:val="0"/>
              <w:rPr>
                <w:rFonts w:ascii="宋体" w:hAnsi="宋体" w:cs="宋体"/>
                <w:szCs w:val="21"/>
              </w:rPr>
            </w:pPr>
          </w:p>
        </w:tc>
        <w:tc>
          <w:tcPr>
            <w:tcW w:w="1808" w:type="dxa"/>
            <w:vAlign w:val="center"/>
          </w:tcPr>
          <w:p>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987" w:type="dxa"/>
            <w:vAlign w:val="center"/>
          </w:tcPr>
          <w:p>
            <w:pPr>
              <w:widowControl/>
              <w:adjustRightInd w:val="0"/>
              <w:snapToGrid w:val="0"/>
              <w:rPr>
                <w:lang/>
              </w:rPr>
            </w:pPr>
            <w:r>
              <w:rPr>
                <w:rFonts w:ascii="宋体" w:hAnsi="宋体"/>
                <w:szCs w:val="21"/>
                <w:lang/>
              </w:rPr>
              <w:t>以采购人和采购代理机构在</w:t>
            </w:r>
            <w:r>
              <w:rPr>
                <w:rFonts w:hint="eastAsia" w:ascii="宋体" w:hAnsi="宋体"/>
                <w:szCs w:val="21"/>
                <w:lang/>
              </w:rPr>
              <w:t>递交响应文件</w:t>
            </w:r>
            <w:r>
              <w:rPr>
                <w:rFonts w:ascii="宋体" w:hAnsi="宋体"/>
                <w:szCs w:val="21"/>
                <w:lang/>
              </w:rPr>
              <w:t>截止日在“信用中国”网站（www.creditchina.gov.cn）及中国政府采购网(www.ccgp.gov.cn)查询</w:t>
            </w:r>
            <w:r>
              <w:rPr>
                <w:rFonts w:hint="eastAsia" w:ascii="宋体" w:hAnsi="宋体"/>
                <w:szCs w:val="21"/>
                <w:lang/>
              </w:rPr>
              <w:t>的</w:t>
            </w:r>
            <w:r>
              <w:rPr>
                <w:rFonts w:ascii="宋体" w:hAnsi="宋体"/>
                <w:szCs w:val="21"/>
                <w:lang/>
              </w:rPr>
              <w:t>供应商</w:t>
            </w:r>
            <w:r>
              <w:rPr>
                <w:rFonts w:hint="eastAsia" w:ascii="宋体" w:hAnsi="宋体"/>
                <w:szCs w:val="21"/>
                <w:lang/>
              </w:rPr>
              <w:t>参加政府采购活动前三年内的</w:t>
            </w:r>
            <w:r>
              <w:rPr>
                <w:rFonts w:ascii="宋体" w:hAnsi="宋体"/>
                <w:szCs w:val="21"/>
                <w:lang/>
              </w:rPr>
              <w:t>结果为准（采购人和采购代理机构对信用信息查询记录和证据截图或下载存档）</w:t>
            </w:r>
            <w:r>
              <w:rPr>
                <w:rFonts w:hint="eastAsia" w:ascii="宋体" w:hAnsi="宋体"/>
                <w:szCs w:val="21"/>
                <w:lang/>
              </w:rPr>
              <w:t>。</w:t>
            </w:r>
          </w:p>
        </w:tc>
        <w:tc>
          <w:tcPr>
            <w:tcW w:w="1090" w:type="dxa"/>
            <w:vAlign w:val="top"/>
          </w:tcPr>
          <w:p>
            <w:pPr>
              <w:widowControl/>
              <w:adjustRightInd w:val="0"/>
              <w:snapToGrid w:val="0"/>
              <w:rPr>
                <w:rFonts w:ascii="宋体" w:hAnsi="宋体"/>
                <w:szCs w:val="21"/>
                <w:lang/>
              </w:rPr>
            </w:pPr>
          </w:p>
        </w:tc>
      </w:tr>
    </w:tbl>
    <w:p>
      <w:pPr>
        <w:widowControl/>
        <w:rPr>
          <w:rFonts w:ascii="宋体" w:hAnsi="宋体"/>
          <w:b/>
          <w:sz w:val="32"/>
          <w:szCs w:val="32"/>
        </w:rPr>
        <w:sectPr>
          <w:pgSz w:w="11905" w:h="16838"/>
          <w:pgMar w:top="1440" w:right="1797" w:bottom="1440" w:left="1797" w:header="850" w:footer="850" w:gutter="0"/>
          <w:cols w:space="720" w:num="1"/>
          <w:docGrid w:linePitch="312" w:charSpace="0"/>
        </w:sectPr>
      </w:pPr>
    </w:p>
    <w:p>
      <w:pPr>
        <w:keepNext/>
        <w:keepLines/>
        <w:spacing w:line="360" w:lineRule="auto"/>
        <w:jc w:val="center"/>
        <w:outlineLvl w:val="1"/>
        <w:rPr>
          <w:rFonts w:ascii="宋体" w:hAnsi="宋体" w:cs="仿宋_GB2312"/>
          <w:b/>
          <w:sz w:val="28"/>
          <w:szCs w:val="28"/>
        </w:rPr>
      </w:pPr>
      <w:bookmarkStart w:id="17" w:name="_Toc109900102"/>
      <w:bookmarkStart w:id="18" w:name="_Toc109900521"/>
      <w:bookmarkStart w:id="19" w:name="_Toc109897585"/>
      <w:bookmarkStart w:id="20" w:name="_Toc109899683"/>
      <w:bookmarkStart w:id="21" w:name="_Toc60575580"/>
      <w:r>
        <w:rPr>
          <w:rFonts w:hint="eastAsia" w:ascii="宋体" w:hAnsi="宋体" w:cs="仿宋_GB2312"/>
          <w:b/>
          <w:sz w:val="28"/>
          <w:szCs w:val="28"/>
        </w:rPr>
        <w:t>（二）法定代表人身份证明</w:t>
      </w:r>
      <w:bookmarkEnd w:id="17"/>
      <w:bookmarkEnd w:id="18"/>
      <w:bookmarkEnd w:id="19"/>
      <w:bookmarkEnd w:id="20"/>
      <w:bookmarkEnd w:id="21"/>
    </w:p>
    <w:p>
      <w:pPr>
        <w:widowControl/>
        <w:spacing w:line="360" w:lineRule="auto"/>
        <w:rPr>
          <w:rFonts w:ascii="宋体" w:hAnsi="宋体"/>
        </w:rPr>
      </w:pPr>
    </w:p>
    <w:p>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pPr>
        <w:spacing w:line="360" w:lineRule="auto"/>
        <w:ind w:firstLine="480" w:firstLineChars="200"/>
        <w:rPr>
          <w:rFonts w:ascii="宋体" w:hAnsi="宋体" w:cs="仿宋_GB2312"/>
          <w:sz w:val="24"/>
        </w:rPr>
      </w:pPr>
      <w:r>
        <w:rPr>
          <w:rFonts w:hint="eastAsia" w:ascii="宋体" w:hAnsi="宋体" w:cs="仿宋_GB2312"/>
          <w:sz w:val="24"/>
        </w:rPr>
        <w:t>特此证明。</w:t>
      </w:r>
    </w:p>
    <w:p>
      <w:pPr>
        <w:spacing w:line="360" w:lineRule="auto"/>
        <w:ind w:firstLine="480" w:firstLineChars="200"/>
        <w:rPr>
          <w:rFonts w:ascii="宋体" w:hAnsi="宋体" w:cs="仿宋_GB2312"/>
          <w:sz w:val="24"/>
        </w:rPr>
      </w:pPr>
    </w:p>
    <w:p>
      <w:pPr>
        <w:widowControl/>
        <w:spacing w:line="360" w:lineRule="auto"/>
        <w:rPr>
          <w:rFonts w:ascii="宋体" w:hAnsi="宋体"/>
        </w:rPr>
      </w:pPr>
    </w:p>
    <w:p>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pPr>
        <w:spacing w:line="360" w:lineRule="auto"/>
        <w:ind w:firstLine="480" w:firstLineChars="200"/>
        <w:rPr>
          <w:rFonts w:ascii="宋体" w:hAnsi="宋体" w:cs="仿宋_GB2312"/>
          <w:sz w:val="24"/>
        </w:rPr>
      </w:pPr>
      <w:r>
        <w:rPr>
          <w:rFonts w:hint="eastAsia" w:ascii="宋体" w:hAnsi="宋体" w:cs="仿宋_GB2312"/>
          <w:sz w:val="24"/>
        </w:rPr>
        <w:t>日      期：   年  月  日</w:t>
      </w:r>
    </w:p>
    <w:p>
      <w:pPr>
        <w:rPr>
          <w:rFonts w:ascii="宋体" w:hAnsi="宋体" w:cs="Arial"/>
          <w:szCs w:val="21"/>
        </w:rPr>
      </w:pPr>
    </w:p>
    <w:tbl>
      <w:tblPr>
        <w:tblW w:w="8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1" w:hRule="atLeast"/>
        </w:trPr>
        <w:tc>
          <w:tcPr>
            <w:tcW w:w="8301" w:type="dxa"/>
            <w:vAlign w:val="top"/>
          </w:tcPr>
          <w:p>
            <w:pPr>
              <w:rPr>
                <w:rFonts w:ascii="宋体" w:hAnsi="宋体" w:cs="Arial"/>
              </w:rPr>
            </w:pPr>
            <w:r>
              <w:rPr>
                <w:rFonts w:hint="eastAsia" w:ascii="宋体" w:hAnsi="宋体" w:cs="仿宋_GB2312"/>
                <w:sz w:val="24"/>
              </w:rPr>
              <w:t>附：法定代表人身份证复印件</w:t>
            </w:r>
          </w:p>
        </w:tc>
      </w:tr>
    </w:tbl>
    <w:p>
      <w:pPr>
        <w:spacing w:line="360" w:lineRule="auto"/>
        <w:ind w:firstLine="735" w:firstLineChars="350"/>
        <w:jc w:val="center"/>
        <w:rPr>
          <w:rFonts w:ascii="宋体" w:hAnsi="宋体" w:cs="Arial"/>
        </w:rPr>
      </w:pPr>
    </w:p>
    <w:p>
      <w:pPr>
        <w:rPr>
          <w:rFonts w:ascii="宋体" w:hAnsi="宋体"/>
        </w:rPr>
      </w:pPr>
      <w:r>
        <w:rPr>
          <w:rFonts w:ascii="宋体" w:hAnsi="宋体"/>
        </w:rPr>
        <w:br w:type="page"/>
      </w:r>
    </w:p>
    <w:p>
      <w:pPr>
        <w:keepNext/>
        <w:keepLines/>
        <w:spacing w:line="360" w:lineRule="auto"/>
        <w:ind w:left="3747" w:hanging="3747" w:hangingChars="1333"/>
        <w:jc w:val="center"/>
        <w:outlineLvl w:val="1"/>
        <w:rPr>
          <w:rFonts w:ascii="宋体" w:hAnsi="宋体" w:cs="仿宋_GB2312"/>
          <w:b/>
          <w:sz w:val="28"/>
          <w:szCs w:val="28"/>
        </w:rPr>
      </w:pPr>
      <w:bookmarkStart w:id="22" w:name="_Toc109900522"/>
      <w:bookmarkStart w:id="23" w:name="_Toc60575581"/>
      <w:bookmarkStart w:id="24" w:name="_Toc109899684"/>
      <w:bookmarkStart w:id="25" w:name="_Toc109897586"/>
      <w:bookmarkStart w:id="26" w:name="_Toc109900103"/>
      <w:r>
        <w:rPr>
          <w:rFonts w:hint="eastAsia" w:ascii="宋体" w:hAnsi="宋体" w:cs="仿宋_GB2312"/>
          <w:b/>
          <w:sz w:val="28"/>
          <w:szCs w:val="28"/>
        </w:rPr>
        <w:t>（三）法定代表人授权书</w:t>
      </w:r>
      <w:bookmarkEnd w:id="22"/>
      <w:bookmarkEnd w:id="23"/>
      <w:bookmarkEnd w:id="24"/>
      <w:bookmarkEnd w:id="25"/>
      <w:bookmarkEnd w:id="26"/>
    </w:p>
    <w:p>
      <w:pPr>
        <w:spacing w:line="360" w:lineRule="auto"/>
        <w:rPr>
          <w:rFonts w:ascii="宋体" w:hAnsi="宋体" w:cs="Arial"/>
        </w:rPr>
      </w:pPr>
    </w:p>
    <w:p>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pPr>
        <w:spacing w:line="360" w:lineRule="auto"/>
        <w:ind w:firstLine="480" w:firstLineChars="200"/>
        <w:rPr>
          <w:rFonts w:ascii="宋体" w:hAnsi="宋体" w:cs="仿宋_GB2312"/>
          <w:sz w:val="24"/>
        </w:rPr>
      </w:pPr>
    </w:p>
    <w:p>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（签字或盖章）</w:t>
      </w:r>
    </w:p>
    <w:p>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（签字或盖章）</w:t>
      </w:r>
    </w:p>
    <w:p>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pPr>
        <w:spacing w:line="360" w:lineRule="auto"/>
        <w:ind w:firstLine="480" w:firstLineChars="200"/>
        <w:rPr>
          <w:rFonts w:ascii="宋体" w:hAnsi="宋体" w:cs="仿宋_GB2312"/>
          <w:sz w:val="24"/>
        </w:rPr>
      </w:pPr>
      <w:r>
        <w:rPr>
          <w:rFonts w:hint="eastAsia" w:ascii="宋体" w:hAnsi="宋体" w:cs="仿宋_GB2312"/>
          <w:sz w:val="24"/>
        </w:rPr>
        <w:t>日      期：</w:t>
      </w:r>
    </w:p>
    <w:p>
      <w:pPr>
        <w:autoSpaceDE w:val="0"/>
        <w:autoSpaceDN w:val="0"/>
        <w:adjustRightInd w:val="0"/>
        <w:spacing w:line="300" w:lineRule="auto"/>
        <w:ind w:right="480" w:firstLine="3990" w:firstLineChars="1900"/>
        <w:jc w:val="left"/>
        <w:rPr>
          <w:rFonts w:ascii="宋体" w:hAnsi="宋体" w:cs="Arial"/>
          <w:szCs w:val="21"/>
        </w:rPr>
      </w:pPr>
    </w:p>
    <w:p>
      <w:pPr>
        <w:rPr>
          <w:rFonts w:ascii="宋体" w:hAnsi="宋体" w:cs="Arial"/>
        </w:rPr>
      </w:pPr>
    </w:p>
    <w:tbl>
      <w:tblPr>
        <w:tblW w:w="8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1" w:hRule="atLeast"/>
        </w:trPr>
        <w:tc>
          <w:tcPr>
            <w:tcW w:w="8301" w:type="dxa"/>
            <w:vAlign w:val="top"/>
          </w:tcPr>
          <w:p>
            <w:pPr>
              <w:rPr>
                <w:rFonts w:ascii="宋体" w:hAnsi="宋体" w:cs="Arial"/>
              </w:rPr>
            </w:pPr>
            <w:r>
              <w:rPr>
                <w:rFonts w:hint="eastAsia" w:ascii="宋体" w:hAnsi="宋体" w:cs="仿宋_GB2312"/>
                <w:sz w:val="24"/>
              </w:rPr>
              <w:t>附：授权代表身份证复印件</w:t>
            </w:r>
          </w:p>
        </w:tc>
      </w:tr>
    </w:tbl>
    <w:p>
      <w:pPr>
        <w:spacing w:line="300" w:lineRule="auto"/>
        <w:rPr>
          <w:rFonts w:ascii="宋体" w:hAnsi="宋体" w:cs="Arial"/>
        </w:rPr>
        <w:sectPr>
          <w:pgSz w:w="11905" w:h="16838"/>
          <w:pgMar w:top="1440" w:right="1797" w:bottom="1440" w:left="1797" w:header="850" w:footer="850" w:gutter="0"/>
          <w:cols w:space="720" w:num="1"/>
          <w:docGrid w:linePitch="312" w:charSpace="0"/>
        </w:sectPr>
      </w:pPr>
      <w:r>
        <w:rPr>
          <w:rFonts w:hint="eastAsia" w:ascii="宋体" w:hAnsi="宋体" w:cs="Arial"/>
        </w:rPr>
        <w:t>注：为方便查验需单独准备一份</w:t>
      </w:r>
    </w:p>
    <w:p/>
    <w:sectPr>
      <w:headerReference r:id="rId4" w:type="default"/>
      <w:footerReference r:id="rId5"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5785541">
    <w:nsid w:val="647B0BC5"/>
    <w:multiLevelType w:val="multilevel"/>
    <w:tmpl w:val="647B0BC5"/>
    <w:lvl w:ilvl="0" w:tentative="1">
      <w:start w:val="1"/>
      <w:numFmt w:val="decimal"/>
      <w:lvlText w:val="%1."/>
      <w:lvlJc w:val="left"/>
      <w:pPr>
        <w:ind w:left="591"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6857855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qFormat="1"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paragraph" w:styleId="4">
    <w:name w:val="Body Text"/>
    <w:basedOn w:val="1"/>
    <w:qFormat/>
    <w:uiPriority w:val="0"/>
    <w:pPr>
      <w:jc w:val="center"/>
    </w:pPr>
    <w:rPr>
      <w:b/>
      <w:bCs/>
      <w:sz w:val="28"/>
    </w:rPr>
  </w:style>
  <w:style w:type="paragraph" w:styleId="5">
    <w:name w:val="Plain Text"/>
    <w:basedOn w:val="1"/>
    <w:qFormat/>
    <w:uiPriority w:val="0"/>
    <w:rPr>
      <w:rFonts w:ascii="宋体" w:hAnsi="Courier New"/>
      <w:szCs w:val="22"/>
    </w:rPr>
  </w:style>
  <w:style w:type="paragraph" w:styleId="6">
    <w:name w:val="Date"/>
    <w:basedOn w:val="1"/>
    <w:next w:val="1"/>
    <w:semiHidden/>
    <w:unhideWhenUsed/>
    <w:qFormat/>
    <w:uiPriority w:val="0"/>
    <w:pPr>
      <w:ind w:left="100" w:leftChars="2500"/>
    </w:pPr>
    <w:rPr>
      <w:rFonts w:ascii="宋体" w:hAnsi="Courier New" w:cs="Courier New"/>
      <w:szCs w:val="21"/>
    </w:rPr>
  </w:style>
  <w:style w:type="paragraph" w:styleId="7">
    <w:name w:val="Balloon Text"/>
    <w:basedOn w:val="1"/>
    <w:link w:val="17"/>
    <w:qFormat/>
    <w:uiPriority w:val="0"/>
    <w:rPr>
      <w:sz w:val="18"/>
      <w:szCs w:val="18"/>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PlainText"/>
    <w:basedOn w:val="1"/>
    <w:next w:val="1"/>
    <w:qFormat/>
    <w:uiPriority w:val="0"/>
    <w:rPr>
      <w:rFonts w:ascii="宋体" w:hAnsi="Courier New"/>
      <w:szCs w:val="21"/>
    </w:rPr>
  </w:style>
  <w:style w:type="paragraph" w:customStyle="1" w:styleId="13">
    <w:name w:val="UserStyle_30"/>
    <w:basedOn w:val="14"/>
    <w:next w:val="1"/>
    <w:qFormat/>
    <w:uiPriority w:val="0"/>
    <w:pPr>
      <w:snapToGrid w:val="0"/>
      <w:spacing w:line="360" w:lineRule="auto"/>
      <w:ind w:firstLine="200" w:firstLineChars="200"/>
    </w:pPr>
    <w:rPr>
      <w:rFonts w:ascii="宋体" w:hAnsi="Calibri"/>
      <w:sz w:val="24"/>
      <w:szCs w:val="22"/>
    </w:rPr>
  </w:style>
  <w:style w:type="paragraph" w:customStyle="1" w:styleId="14">
    <w:name w:val="UserStyle_25"/>
    <w:qFormat/>
    <w:uiPriority w:val="0"/>
    <w:pPr>
      <w:jc w:val="both"/>
      <w:textAlignment w:val="baseline"/>
    </w:pPr>
    <w:rPr>
      <w:rFonts w:ascii="Times New Roman" w:hAnsi="Times New Roman" w:eastAsia="宋体" w:cs="Times New Roman"/>
      <w:szCs w:val="24"/>
      <w:lang w:val="en-US" w:eastAsia="zh-CN" w:bidi="ar-SA"/>
    </w:rPr>
  </w:style>
  <w:style w:type="paragraph" w:customStyle="1" w:styleId="15">
    <w:name w:val="UserStyle_29"/>
    <w:qFormat/>
    <w:uiPriority w:val="0"/>
    <w:pPr>
      <w:textAlignment w:val="baseline"/>
    </w:pPr>
    <w:rPr>
      <w:rFonts w:ascii="Times New Roman" w:hAnsi="Times New Roman" w:eastAsia="宋体" w:cs="Times New Roman"/>
      <w:color w:val="000000"/>
      <w:sz w:val="24"/>
      <w:szCs w:val="24"/>
      <w:lang w:val="en-US" w:eastAsia="zh-CN" w:bidi="ar-SA"/>
    </w:rPr>
  </w:style>
  <w:style w:type="character" w:customStyle="1" w:styleId="16">
    <w:name w:val="NormalCharacter"/>
    <w:semiHidden/>
    <w:qFormat/>
    <w:uiPriority w:val="0"/>
  </w:style>
  <w:style w:type="character" w:customStyle="1" w:styleId="17">
    <w:name w:val="批注框文本 Char"/>
    <w:basedOn w:val="10"/>
    <w:link w:val="7"/>
    <w:qFormat/>
    <w:uiPriority w:val="0"/>
    <w:rPr>
      <w:rFonts w:ascii="Times New Roman" w:hAnsi="Times New Roman" w:eastAsia="宋体" w:cs="Times New Roman"/>
      <w:kern w:val="2"/>
      <w:sz w:val="18"/>
      <w:szCs w:val="18"/>
    </w:rPr>
  </w:style>
  <w:style w:type="character" w:customStyle="1" w:styleId="18">
    <w:name w:val="标题 1 Char"/>
    <w:basedOn w:val="10"/>
    <w:link w:val="2"/>
    <w:qFormat/>
    <w:uiPriority w:val="0"/>
    <w:rPr>
      <w:rFonts w:ascii="宋体" w:hAnsi="Times New Roman" w:eastAsia="宋体" w:cs="Times New Roman"/>
      <w:b/>
      <w:kern w:val="2"/>
      <w:sz w:val="4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customXml" Target="../customXml/item1.xml"/><Relationship Id="rId14"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4832</Words>
  <Characters>5069</Characters>
  <Lines>42</Lines>
  <Paragraphs>12</Paragraphs>
  <TotalTime>0</TotalTime>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2024-11-01T07:17:00Z</dcterms:created>
  <dc:creator>Administrator</dc:creator>
  <cp:lastModifiedBy>Administrator</cp:lastModifiedBy>
  <dcterms:modified xsi:type="dcterms:W3CDTF">2025-07-21T08:45:25Z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y fmtid="{D5CDD505-2E9C-101B-9397-08002B2CF9AE}" pid="3" name="ICV">
    <vt:lpwstr>20984EADB47A496287A6741441563620_13</vt:lpwstr>
  </property>
  <property fmtid="{D5CDD505-2E9C-101B-9397-08002B2CF9AE}" pid="4" name="KSOTemplateDocerSaveRecord">
    <vt:lpwstr>eyJoZGlkIjoiYzk1NzM1ZDU1YTU4NzdlNDczMTUzMjM1MjNhN2VhYzYiLCJ1c2VySWQiOiIxNTk1NTg4MTg3In0=</vt:lpwstr>
  </property>
</Properties>
</file>