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1BC22">
      <w:pPr>
        <w:pStyle w:val="7"/>
        <w:tabs>
          <w:tab w:val="left" w:pos="2520"/>
        </w:tabs>
        <w:spacing w:line="500" w:lineRule="exact"/>
        <w:jc w:val="center"/>
        <w:rPr>
          <w:rFonts w:hAnsi="宋体" w:cs="宋体"/>
          <w:spacing w:val="14"/>
          <w:sz w:val="48"/>
          <w:szCs w:val="48"/>
        </w:rPr>
      </w:pPr>
    </w:p>
    <w:p w14:paraId="3BEE98CE">
      <w:pPr>
        <w:pStyle w:val="7"/>
        <w:tabs>
          <w:tab w:val="left" w:pos="2520"/>
        </w:tabs>
        <w:spacing w:line="900" w:lineRule="exact"/>
        <w:jc w:val="center"/>
        <w:rPr>
          <w:rFonts w:hAnsi="宋体" w:cs="宋体"/>
          <w:b/>
          <w:sz w:val="84"/>
          <w:szCs w:val="84"/>
        </w:rPr>
      </w:pPr>
      <w:r>
        <w:rPr>
          <w:rFonts w:hint="eastAsia" w:hAnsi="宋体" w:cs="宋体"/>
          <w:b/>
          <w:sz w:val="84"/>
          <w:szCs w:val="84"/>
        </w:rPr>
        <w:t>竞争性磋商文件</w:t>
      </w:r>
    </w:p>
    <w:p w14:paraId="148EBEBA">
      <w:pPr>
        <w:pStyle w:val="7"/>
        <w:tabs>
          <w:tab w:val="left" w:pos="2520"/>
        </w:tabs>
        <w:spacing w:line="500" w:lineRule="exact"/>
        <w:jc w:val="center"/>
        <w:rPr>
          <w:rFonts w:hAnsi="宋体" w:cs="宋体"/>
          <w:sz w:val="72"/>
          <w:szCs w:val="72"/>
        </w:rPr>
      </w:pPr>
    </w:p>
    <w:p w14:paraId="6EC55C2F">
      <w:pPr>
        <w:spacing w:line="480" w:lineRule="auto"/>
        <w:ind w:left="3081" w:leftChars="798" w:hanging="1405" w:hangingChars="500"/>
        <w:rPr>
          <w:rFonts w:ascii="宋体" w:hAnsi="宋体" w:cs="宋体"/>
          <w:b/>
          <w:sz w:val="28"/>
          <w:szCs w:val="28"/>
        </w:rPr>
      </w:pPr>
    </w:p>
    <w:p w14:paraId="591B819E">
      <w:pPr>
        <w:spacing w:line="480" w:lineRule="auto"/>
        <w:ind w:left="3081" w:leftChars="798" w:hanging="1405" w:hangingChars="500"/>
        <w:rPr>
          <w:rFonts w:ascii="宋体" w:hAnsi="宋体" w:cs="宋体"/>
          <w:b/>
          <w:sz w:val="28"/>
          <w:szCs w:val="28"/>
        </w:rPr>
      </w:pPr>
    </w:p>
    <w:p w14:paraId="5C941E73">
      <w:pPr>
        <w:spacing w:line="480" w:lineRule="auto"/>
        <w:ind w:left="3081" w:leftChars="798" w:hanging="1405" w:hangingChars="500"/>
        <w:rPr>
          <w:rFonts w:ascii="宋体" w:hAnsi="宋体" w:cs="宋体"/>
          <w:b/>
          <w:sz w:val="28"/>
          <w:szCs w:val="28"/>
        </w:rPr>
      </w:pPr>
    </w:p>
    <w:p w14:paraId="5980DD82">
      <w:pPr>
        <w:spacing w:line="480" w:lineRule="auto"/>
        <w:ind w:left="3081" w:leftChars="798" w:hanging="1405" w:hangingChars="500"/>
        <w:rPr>
          <w:rFonts w:ascii="宋体" w:hAnsi="宋体" w:cs="宋体"/>
          <w:b/>
          <w:sz w:val="28"/>
          <w:szCs w:val="28"/>
        </w:rPr>
      </w:pPr>
    </w:p>
    <w:p w14:paraId="62FF6D3D">
      <w:pPr>
        <w:spacing w:line="480" w:lineRule="auto"/>
        <w:ind w:left="3243" w:leftChars="684" w:hanging="1807" w:hangingChars="500"/>
        <w:rPr>
          <w:rFonts w:hint="eastAsia" w:ascii="宋体" w:hAnsi="宋体" w:eastAsia="宋体" w:cs="宋体"/>
          <w:b/>
          <w:sz w:val="36"/>
          <w:szCs w:val="36"/>
        </w:rPr>
      </w:pPr>
      <w:r>
        <w:rPr>
          <w:rFonts w:hint="eastAsia" w:ascii="宋体" w:hAnsi="宋体" w:cs="宋体"/>
          <w:b/>
          <w:sz w:val="36"/>
          <w:szCs w:val="36"/>
        </w:rPr>
        <w:t>项目名称：</w:t>
      </w:r>
      <w:r>
        <w:rPr>
          <w:rFonts w:hint="eastAsia" w:ascii="宋体" w:hAnsi="宋体" w:eastAsia="宋体" w:cs="宋体"/>
          <w:b/>
          <w:sz w:val="36"/>
          <w:szCs w:val="36"/>
        </w:rPr>
        <w:t>黄石市中心医院2号楼9楼胸心外科弱电改造项目</w:t>
      </w:r>
    </w:p>
    <w:p w14:paraId="50F7C5AC">
      <w:pPr>
        <w:spacing w:line="480" w:lineRule="auto"/>
        <w:ind w:firstLine="1446" w:firstLineChars="400"/>
        <w:rPr>
          <w:rFonts w:ascii="宋体" w:hAnsi="宋体" w:cs="宋体"/>
          <w:b/>
          <w:sz w:val="36"/>
          <w:szCs w:val="36"/>
        </w:rPr>
      </w:pPr>
    </w:p>
    <w:p w14:paraId="060EB924">
      <w:pPr>
        <w:spacing w:line="480" w:lineRule="auto"/>
        <w:ind w:firstLine="1446" w:firstLineChars="400"/>
        <w:rPr>
          <w:rFonts w:ascii="宋体" w:hAnsi="宋体" w:cs="宋体"/>
          <w:b/>
          <w:sz w:val="36"/>
          <w:szCs w:val="36"/>
          <w:lang w:val="zh-CN"/>
        </w:rPr>
      </w:pPr>
    </w:p>
    <w:p w14:paraId="67B99BF2">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14:paraId="24D6010E">
      <w:pPr>
        <w:pStyle w:val="7"/>
        <w:tabs>
          <w:tab w:val="left" w:pos="2520"/>
        </w:tabs>
        <w:spacing w:line="500" w:lineRule="exact"/>
        <w:jc w:val="center"/>
        <w:rPr>
          <w:rFonts w:hAnsi="宋体" w:cs="宋体"/>
          <w:sz w:val="36"/>
          <w:szCs w:val="36"/>
        </w:rPr>
      </w:pPr>
    </w:p>
    <w:p w14:paraId="41EC7966">
      <w:pPr>
        <w:pStyle w:val="7"/>
        <w:tabs>
          <w:tab w:val="left" w:pos="2520"/>
        </w:tabs>
        <w:spacing w:line="500" w:lineRule="exact"/>
        <w:jc w:val="center"/>
        <w:rPr>
          <w:rFonts w:hAnsi="宋体" w:cs="宋体"/>
          <w:sz w:val="72"/>
          <w:szCs w:val="72"/>
        </w:rPr>
      </w:pPr>
    </w:p>
    <w:p w14:paraId="0153CA7D">
      <w:pPr>
        <w:pStyle w:val="7"/>
        <w:tabs>
          <w:tab w:val="left" w:pos="2520"/>
        </w:tabs>
        <w:spacing w:line="500" w:lineRule="exact"/>
        <w:rPr>
          <w:rFonts w:hAnsi="宋体" w:cs="宋体"/>
          <w:sz w:val="72"/>
          <w:szCs w:val="72"/>
        </w:rPr>
      </w:pPr>
    </w:p>
    <w:p w14:paraId="7B086089">
      <w:pPr>
        <w:pStyle w:val="7"/>
        <w:tabs>
          <w:tab w:val="left" w:pos="2520"/>
        </w:tabs>
        <w:spacing w:line="500" w:lineRule="exact"/>
        <w:rPr>
          <w:rFonts w:hAnsi="宋体" w:cs="宋体"/>
          <w:sz w:val="72"/>
          <w:szCs w:val="72"/>
        </w:rPr>
      </w:pPr>
    </w:p>
    <w:p w14:paraId="0C1E258D">
      <w:pPr>
        <w:pStyle w:val="7"/>
        <w:tabs>
          <w:tab w:val="left" w:pos="2520"/>
        </w:tabs>
        <w:spacing w:line="500" w:lineRule="exact"/>
        <w:rPr>
          <w:rFonts w:hAnsi="宋体" w:cs="宋体"/>
          <w:sz w:val="72"/>
          <w:szCs w:val="72"/>
        </w:rPr>
      </w:pPr>
    </w:p>
    <w:p w14:paraId="29327F08">
      <w:pPr>
        <w:tabs>
          <w:tab w:val="left" w:pos="1980"/>
        </w:tabs>
        <w:spacing w:line="500" w:lineRule="exact"/>
        <w:jc w:val="center"/>
        <w:rPr>
          <w:rFonts w:ascii="宋体" w:hAnsi="宋体" w:cs="宋体"/>
          <w:b/>
          <w:bCs/>
          <w:sz w:val="18"/>
          <w:szCs w:val="18"/>
        </w:rPr>
      </w:pPr>
    </w:p>
    <w:p w14:paraId="1E6D34F3">
      <w:pPr>
        <w:tabs>
          <w:tab w:val="left" w:pos="1980"/>
        </w:tabs>
        <w:spacing w:line="500" w:lineRule="exact"/>
        <w:rPr>
          <w:rFonts w:ascii="宋体" w:hAnsi="宋体" w:cs="宋体"/>
          <w:b/>
          <w:bCs/>
          <w:sz w:val="28"/>
          <w:szCs w:val="28"/>
        </w:rPr>
      </w:pPr>
    </w:p>
    <w:p w14:paraId="5D887391">
      <w:pPr>
        <w:spacing w:line="500" w:lineRule="exact"/>
        <w:jc w:val="center"/>
        <w:rPr>
          <w:rFonts w:ascii="宋体" w:hAnsi="宋体" w:cs="宋体"/>
          <w:b/>
          <w:bCs/>
          <w:sz w:val="32"/>
          <w:szCs w:val="32"/>
        </w:rPr>
      </w:pPr>
    </w:p>
    <w:p w14:paraId="3CF8A3B0">
      <w:pPr>
        <w:spacing w:line="500" w:lineRule="exact"/>
        <w:jc w:val="center"/>
        <w:rPr>
          <w:rFonts w:ascii="宋体" w:hAnsi="宋体" w:cs="宋体"/>
          <w:b/>
          <w:sz w:val="44"/>
          <w:szCs w:val="44"/>
        </w:rPr>
      </w:pPr>
    </w:p>
    <w:p w14:paraId="4B6F2235">
      <w:pPr>
        <w:snapToGrid w:val="0"/>
        <w:jc w:val="center"/>
        <w:rPr>
          <w:rFonts w:ascii="宋体" w:hAnsi="宋体"/>
          <w:b/>
          <w:bCs/>
          <w:sz w:val="36"/>
          <w:szCs w:val="36"/>
        </w:rPr>
      </w:pPr>
    </w:p>
    <w:p w14:paraId="29E85668">
      <w:pPr>
        <w:snapToGrid w:val="0"/>
        <w:jc w:val="center"/>
        <w:rPr>
          <w:rFonts w:ascii="宋体" w:hAnsi="宋体"/>
          <w:b/>
          <w:bCs/>
          <w:sz w:val="36"/>
          <w:szCs w:val="36"/>
        </w:rPr>
      </w:pPr>
    </w:p>
    <w:p w14:paraId="62B34688">
      <w:pPr>
        <w:snapToGrid w:val="0"/>
        <w:ind w:firstLine="3253" w:firstLineChars="900"/>
        <w:rPr>
          <w:rFonts w:ascii="宋体"/>
          <w:b/>
          <w:sz w:val="32"/>
          <w:szCs w:val="32"/>
        </w:rPr>
      </w:pPr>
      <w:r>
        <w:rPr>
          <w:rFonts w:hint="eastAsia" w:ascii="宋体" w:hAnsi="宋体"/>
          <w:b/>
          <w:bCs/>
          <w:sz w:val="36"/>
          <w:szCs w:val="36"/>
        </w:rPr>
        <w:t>二〇二四年七月</w:t>
      </w:r>
    </w:p>
    <w:p w14:paraId="64B47C7C">
      <w:pPr>
        <w:spacing w:line="500" w:lineRule="exact"/>
        <w:jc w:val="center"/>
        <w:rPr>
          <w:rFonts w:ascii="宋体" w:hAnsi="宋体" w:cs="宋体"/>
          <w:b/>
          <w:bCs/>
          <w:sz w:val="32"/>
          <w:szCs w:val="32"/>
        </w:rPr>
      </w:pPr>
    </w:p>
    <w:p w14:paraId="3BD97822">
      <w:pPr>
        <w:rPr>
          <w:rFonts w:ascii="宋体" w:hAnsi="宋体" w:cs="宋体"/>
          <w:sz w:val="24"/>
          <w:szCs w:val="24"/>
        </w:rPr>
      </w:pPr>
    </w:p>
    <w:p w14:paraId="56CDA0F9">
      <w:pPr>
        <w:spacing w:line="500" w:lineRule="exact"/>
        <w:jc w:val="center"/>
        <w:rPr>
          <w:rFonts w:ascii="宋体" w:hAnsi="宋体" w:cs="宋体"/>
          <w:b/>
          <w:bCs/>
          <w:sz w:val="24"/>
          <w:szCs w:val="24"/>
        </w:rPr>
      </w:pPr>
    </w:p>
    <w:p w14:paraId="17511C8D">
      <w:pPr>
        <w:pStyle w:val="12"/>
        <w:rPr>
          <w:rFonts w:ascii="宋体" w:hAnsi="宋体" w:cs="宋体"/>
        </w:rPr>
      </w:pPr>
      <w:bookmarkStart w:id="0" w:name="_Toc528493082"/>
      <w:bookmarkStart w:id="1" w:name="_Toc528494262"/>
      <w:bookmarkStart w:id="2" w:name="_Toc528493163"/>
      <w:bookmarkStart w:id="3" w:name="_Toc528493563"/>
      <w:bookmarkStart w:id="4" w:name="_Toc528493130"/>
      <w:r>
        <w:rPr>
          <w:rFonts w:hint="eastAsia" w:ascii="宋体" w:hAnsi="宋体" w:cs="宋体"/>
        </w:rPr>
        <w:t>第一章  磋商邀请函</w:t>
      </w:r>
      <w:bookmarkEnd w:id="0"/>
      <w:bookmarkEnd w:id="1"/>
      <w:bookmarkEnd w:id="2"/>
      <w:bookmarkEnd w:id="3"/>
      <w:bookmarkEnd w:id="4"/>
    </w:p>
    <w:p w14:paraId="5E602C61">
      <w:pPr>
        <w:spacing w:line="420" w:lineRule="exact"/>
        <w:ind w:firstLine="480" w:firstLineChars="200"/>
        <w:rPr>
          <w:rFonts w:hint="eastAsia" w:ascii="宋体" w:hAnsi="宋体" w:cs="宋体"/>
          <w:sz w:val="24"/>
          <w:lang w:val="zh-CN"/>
        </w:rPr>
      </w:pPr>
      <w:bookmarkStart w:id="5" w:name="_Toc35393622"/>
      <w:bookmarkStart w:id="6" w:name="_Toc35393791"/>
      <w:bookmarkStart w:id="7" w:name="_Toc28359003"/>
      <w:bookmarkStart w:id="8" w:name="_Toc28359080"/>
      <w:r>
        <w:rPr>
          <w:rFonts w:hint="eastAsia" w:ascii="宋体" w:hAnsi="宋体" w:cs="宋体"/>
          <w:sz w:val="24"/>
          <w:lang w:val="zh-CN"/>
        </w:rPr>
        <w:t>根据黄石市中心医院的需求，就</w:t>
      </w:r>
      <w:r>
        <w:rPr>
          <w:rFonts w:hint="eastAsia" w:ascii="宋体" w:hAnsi="宋体" w:cs="宋体"/>
          <w:sz w:val="24"/>
        </w:rPr>
        <w:t>黄石市中心医院2号楼9楼胸心外科弱电改造项目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14:paraId="32CDC428">
      <w:pPr>
        <w:spacing w:line="420" w:lineRule="exact"/>
        <w:ind w:firstLine="480" w:firstLineChars="200"/>
        <w:rPr>
          <w:rFonts w:hint="eastAsia" w:ascii="宋体" w:hAnsi="宋体" w:cs="宋体"/>
          <w:sz w:val="24"/>
        </w:rPr>
      </w:pPr>
      <w:bookmarkStart w:id="9" w:name="_Toc35393792"/>
      <w:bookmarkStart w:id="10" w:name="_Toc28359004"/>
      <w:bookmarkStart w:id="11" w:name="_Toc28359081"/>
      <w:bookmarkStart w:id="12" w:name="_Toc35393623"/>
      <w:r>
        <w:rPr>
          <w:rFonts w:hint="eastAsia" w:ascii="宋体" w:hAnsi="宋体" w:cs="宋体"/>
          <w:sz w:val="24"/>
        </w:rPr>
        <w:t>一、项目内容：</w:t>
      </w:r>
    </w:p>
    <w:p w14:paraId="6ED9296F">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项目名称：黄石市中心医院2号楼9楼胸心外科弱电改造项目</w:t>
      </w:r>
    </w:p>
    <w:p w14:paraId="0E995417">
      <w:pPr>
        <w:spacing w:line="420" w:lineRule="exact"/>
        <w:ind w:firstLine="480" w:firstLineChars="200"/>
        <w:rPr>
          <w:rFonts w:ascii="宋体" w:hAnsi="宋体" w:cs="宋体"/>
          <w:sz w:val="24"/>
        </w:rPr>
      </w:pPr>
      <w:r>
        <w:rPr>
          <w:rFonts w:hint="eastAsia" w:ascii="宋体" w:hAnsi="宋体" w:cs="宋体"/>
          <w:sz w:val="24"/>
        </w:rPr>
        <w:t>2、采购内容：2号楼9楼胸心外科弱电改造</w:t>
      </w:r>
    </w:p>
    <w:p w14:paraId="5481C4FD">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2E211FBF">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bidi="ar"/>
        </w:rPr>
        <w:t>5</w:t>
      </w:r>
      <w:r>
        <w:rPr>
          <w:rFonts w:hint="eastAsia" w:ascii="宋体" w:hAnsi="宋体" w:cs="宋体"/>
          <w:sz w:val="24"/>
        </w:rPr>
        <w:t>万元</w:t>
      </w:r>
    </w:p>
    <w:p w14:paraId="1869C2A6">
      <w:pPr>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hint="eastAsia" w:ascii="宋体" w:hAnsi="宋体" w:cs="仿宋_GB2312"/>
          <w:sz w:val="24"/>
        </w:rPr>
        <w:t>合同履行期限：</w:t>
      </w:r>
      <w:r>
        <w:rPr>
          <w:rFonts w:hint="eastAsia" w:ascii="宋体" w:hAnsi="宋体" w:cs="仿宋_GB2312"/>
          <w:sz w:val="24"/>
          <w:lang w:val="en-US" w:eastAsia="zh-CN"/>
        </w:rPr>
        <w:t>15日历天</w:t>
      </w:r>
      <w:r>
        <w:rPr>
          <w:rFonts w:hint="eastAsia" w:ascii="宋体" w:hAnsi="宋体" w:cs="仿宋_GB2312"/>
          <w:sz w:val="24"/>
        </w:rPr>
        <w:t>。</w:t>
      </w:r>
    </w:p>
    <w:p w14:paraId="76138EAA">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31E6FD76">
      <w:pPr>
        <w:spacing w:line="420" w:lineRule="exact"/>
        <w:ind w:firstLine="480" w:firstLineChars="200"/>
        <w:rPr>
          <w:rFonts w:ascii="宋体" w:hAnsi="宋体" w:cs="宋体"/>
          <w:sz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p>
    <w:p w14:paraId="311958BC">
      <w:pPr>
        <w:spacing w:line="420" w:lineRule="exact"/>
        <w:ind w:firstLine="480" w:firstLineChars="200"/>
        <w:rPr>
          <w:rFonts w:hint="eastAsia" w:ascii="宋体" w:hAnsi="宋体" w:cs="宋体"/>
          <w:sz w:val="24"/>
        </w:rPr>
      </w:pPr>
      <w:r>
        <w:rPr>
          <w:rFonts w:hint="eastAsia" w:ascii="宋体" w:hAnsi="宋体" w:cs="宋体"/>
          <w:sz w:val="24"/>
        </w:rPr>
        <w:t>二、谈判供应商的资格要求</w:t>
      </w:r>
    </w:p>
    <w:p w14:paraId="6E9F4225">
      <w:pPr>
        <w:spacing w:line="420" w:lineRule="exact"/>
        <w:ind w:firstLine="480" w:firstLineChars="200"/>
        <w:rPr>
          <w:rFonts w:hint="eastAsia" w:ascii="宋体" w:hAnsi="宋体" w:cs="宋体"/>
          <w:sz w:val="24"/>
          <w:lang w:val="zh-CN"/>
        </w:rPr>
      </w:pPr>
      <w:r>
        <w:rPr>
          <w:rFonts w:hint="eastAsia" w:ascii="宋体" w:hAnsi="宋体" w:cs="宋体"/>
          <w:sz w:val="24"/>
          <w:lang w:val="zh-CN"/>
        </w:rPr>
        <w:t>1、满足《中华人民共和国政府采购法》第二十二条规定，即：</w:t>
      </w:r>
    </w:p>
    <w:p w14:paraId="0C80C48E">
      <w:pPr>
        <w:spacing w:line="420" w:lineRule="exact"/>
        <w:ind w:firstLine="480" w:firstLineChars="200"/>
        <w:rPr>
          <w:rFonts w:hint="eastAsia" w:ascii="宋体" w:hAnsi="宋体" w:cs="宋体"/>
          <w:sz w:val="24"/>
          <w:lang w:val="zh-CN"/>
        </w:rPr>
      </w:pPr>
      <w:r>
        <w:rPr>
          <w:rFonts w:hint="eastAsia" w:ascii="宋体" w:hAnsi="宋体" w:cs="宋体"/>
          <w:sz w:val="24"/>
          <w:lang w:val="zh-CN"/>
        </w:rPr>
        <w:t>（1）具有独立承担民事责任的能力；</w:t>
      </w:r>
    </w:p>
    <w:p w14:paraId="1F8B1490">
      <w:pPr>
        <w:spacing w:line="420" w:lineRule="exact"/>
        <w:ind w:firstLine="480" w:firstLineChars="200"/>
        <w:rPr>
          <w:rFonts w:hint="eastAsia" w:ascii="宋体" w:hAnsi="宋体" w:cs="宋体"/>
          <w:sz w:val="24"/>
          <w:lang w:val="zh-CN"/>
        </w:rPr>
      </w:pPr>
      <w:r>
        <w:rPr>
          <w:rFonts w:hint="eastAsia" w:ascii="宋体" w:hAnsi="宋体" w:cs="宋体"/>
          <w:sz w:val="24"/>
          <w:lang w:val="zh-CN"/>
        </w:rPr>
        <w:t>（2）具有良好的商业信誉和健全的财务会计制度；</w:t>
      </w:r>
    </w:p>
    <w:p w14:paraId="61412ED7">
      <w:pPr>
        <w:spacing w:line="420" w:lineRule="exact"/>
        <w:ind w:firstLine="480" w:firstLineChars="200"/>
        <w:rPr>
          <w:rFonts w:hint="eastAsia" w:ascii="宋体" w:hAnsi="宋体" w:cs="宋体"/>
          <w:sz w:val="24"/>
          <w:lang w:val="zh-CN"/>
        </w:rPr>
      </w:pPr>
      <w:r>
        <w:rPr>
          <w:rFonts w:hint="eastAsia" w:ascii="宋体" w:hAnsi="宋体" w:cs="宋体"/>
          <w:sz w:val="24"/>
          <w:lang w:val="zh-CN"/>
        </w:rPr>
        <w:t>（3）具有履行合同所必需的设备和专业技术能力；</w:t>
      </w:r>
    </w:p>
    <w:p w14:paraId="0BDC6A5C">
      <w:pPr>
        <w:spacing w:line="420" w:lineRule="exact"/>
        <w:ind w:firstLine="480" w:firstLineChars="200"/>
        <w:rPr>
          <w:rFonts w:hint="eastAsia" w:ascii="宋体" w:hAnsi="宋体" w:cs="宋体"/>
          <w:sz w:val="24"/>
          <w:lang w:val="zh-CN"/>
        </w:rPr>
      </w:pPr>
      <w:r>
        <w:rPr>
          <w:rFonts w:hint="eastAsia" w:ascii="宋体" w:hAnsi="宋体" w:cs="宋体"/>
          <w:sz w:val="24"/>
          <w:lang w:val="zh-CN"/>
        </w:rPr>
        <w:t>（4）有依法缴纳税收和社会保障资金的良好记录；</w:t>
      </w:r>
    </w:p>
    <w:p w14:paraId="200EAEEB">
      <w:pPr>
        <w:spacing w:line="420" w:lineRule="exact"/>
        <w:ind w:firstLine="480" w:firstLineChars="200"/>
        <w:rPr>
          <w:rFonts w:hint="eastAsia" w:ascii="宋体" w:hAnsi="宋体" w:cs="宋体"/>
          <w:sz w:val="24"/>
          <w:lang w:val="zh-CN"/>
        </w:rPr>
      </w:pPr>
      <w:r>
        <w:rPr>
          <w:rFonts w:hint="eastAsia" w:ascii="宋体" w:hAnsi="宋体" w:cs="宋体"/>
          <w:sz w:val="24"/>
          <w:lang w:val="zh-CN"/>
        </w:rPr>
        <w:t>（5）参加政府采购活动前三年内，在经营活动中没有重大违法记录；</w:t>
      </w:r>
    </w:p>
    <w:p w14:paraId="071473DE">
      <w:pPr>
        <w:spacing w:line="420" w:lineRule="exact"/>
        <w:ind w:firstLine="480" w:firstLineChars="200"/>
        <w:rPr>
          <w:rFonts w:hint="eastAsia" w:ascii="宋体" w:hAnsi="宋体" w:cs="宋体"/>
          <w:sz w:val="24"/>
          <w:lang w:val="zh-CN"/>
        </w:rPr>
      </w:pPr>
      <w:r>
        <w:rPr>
          <w:rFonts w:hint="eastAsia" w:ascii="宋体" w:hAnsi="宋体" w:cs="宋体"/>
          <w:sz w:val="24"/>
          <w:lang w:val="zh-CN"/>
        </w:rPr>
        <w:t>（6）法律、行政法规规定的其他条件。</w:t>
      </w:r>
    </w:p>
    <w:p w14:paraId="6F65F35F">
      <w:pPr>
        <w:spacing w:line="420" w:lineRule="exact"/>
        <w:ind w:firstLine="480" w:firstLineChars="200"/>
        <w:rPr>
          <w:rFonts w:hint="eastAsia" w:ascii="宋体" w:hAnsi="宋体" w:cs="宋体"/>
          <w:sz w:val="24"/>
          <w:lang w:val="zh-CN"/>
        </w:rPr>
      </w:pPr>
      <w:r>
        <w:rPr>
          <w:rFonts w:hint="eastAsia" w:ascii="宋体" w:hAnsi="宋体" w:cs="宋体"/>
          <w:sz w:val="24"/>
          <w:lang w:val="zh-CN"/>
        </w:rPr>
        <w:t>2、单位负责人为同一人或者存在直接控股、管理关系的不同供应商，不得参加本项目同一合同项下的政府采购活动。</w:t>
      </w:r>
    </w:p>
    <w:p w14:paraId="77382919">
      <w:pPr>
        <w:spacing w:line="420" w:lineRule="exact"/>
        <w:ind w:firstLine="480" w:firstLineChars="200"/>
        <w:rPr>
          <w:rFonts w:hint="eastAsia" w:ascii="宋体" w:hAnsi="宋体" w:cs="宋体"/>
          <w:sz w:val="24"/>
          <w:lang w:val="zh-CN"/>
        </w:rPr>
      </w:pPr>
      <w:r>
        <w:rPr>
          <w:rFonts w:hint="eastAsia" w:ascii="宋体" w:hAnsi="宋体" w:cs="宋体"/>
          <w:sz w:val="24"/>
          <w:lang w:val="en-US" w:eastAsia="zh-CN"/>
        </w:rPr>
        <w:t>3</w:t>
      </w:r>
      <w:r>
        <w:rPr>
          <w:rFonts w:hint="eastAsia" w:ascii="宋体" w:hAnsi="宋体" w:cs="宋体"/>
          <w:sz w:val="24"/>
          <w:lang w:val="zh-CN"/>
        </w:rPr>
        <w:t>、供应商未被列入“信用中国”网站（www.creditchina.gov.cn）失信被执行人、重大税收违法案件当事人记录名单、政府采购严重违法失信行为信息记录名单，以采购代理机构</w:t>
      </w:r>
      <w:r>
        <w:rPr>
          <w:rFonts w:hint="eastAsia" w:ascii="宋体" w:hAnsi="宋体" w:cs="宋体"/>
          <w:sz w:val="24"/>
        </w:rPr>
        <w:t>谈判</w:t>
      </w:r>
      <w:r>
        <w:rPr>
          <w:rFonts w:hint="eastAsia" w:ascii="宋体" w:hAnsi="宋体" w:cs="宋体"/>
          <w:sz w:val="24"/>
          <w:lang w:val="zh-CN"/>
        </w:rPr>
        <w:t>当天查询结果为准。</w:t>
      </w:r>
    </w:p>
    <w:p w14:paraId="2C11F398">
      <w:pPr>
        <w:spacing w:line="420" w:lineRule="exact"/>
        <w:ind w:firstLine="480" w:firstLineChars="200"/>
        <w:rPr>
          <w:rFonts w:hint="eastAsia" w:ascii="宋体" w:hAnsi="宋体" w:cs="宋体"/>
          <w:sz w:val="24"/>
          <w:lang w:val="zh-CN"/>
        </w:rPr>
      </w:pPr>
      <w:r>
        <w:rPr>
          <w:rFonts w:hint="eastAsia" w:ascii="宋体" w:hAnsi="宋体" w:cs="宋体"/>
          <w:sz w:val="24"/>
          <w:lang w:val="en-US" w:eastAsia="zh-CN"/>
        </w:rPr>
        <w:t>4</w:t>
      </w:r>
      <w:r>
        <w:rPr>
          <w:rFonts w:hint="eastAsia" w:ascii="宋体" w:hAnsi="宋体" w:cs="宋体"/>
          <w:sz w:val="24"/>
          <w:lang w:val="zh-CN"/>
        </w:rPr>
        <w:t>、本项目不接受联合体</w:t>
      </w:r>
      <w:r>
        <w:rPr>
          <w:rFonts w:hint="eastAsia" w:ascii="宋体" w:hAnsi="宋体" w:cs="宋体"/>
          <w:sz w:val="24"/>
        </w:rPr>
        <w:t>谈判</w:t>
      </w:r>
      <w:r>
        <w:rPr>
          <w:rFonts w:hint="eastAsia" w:ascii="宋体" w:hAnsi="宋体" w:cs="宋体"/>
          <w:sz w:val="24"/>
          <w:lang w:val="zh-CN"/>
        </w:rPr>
        <w:t>，不允许分包、转包。</w:t>
      </w:r>
    </w:p>
    <w:p w14:paraId="571B6111">
      <w:pPr>
        <w:spacing w:line="420" w:lineRule="exact"/>
        <w:ind w:firstLine="480" w:firstLineChars="200"/>
        <w:rPr>
          <w:rFonts w:ascii="宋体" w:hAnsi="宋体" w:cs="宋体"/>
          <w:sz w:val="24"/>
          <w:lang w:val="zh-CN"/>
        </w:rPr>
      </w:pPr>
      <w:r>
        <w:rPr>
          <w:rFonts w:hint="eastAsia" w:ascii="宋体" w:hAnsi="宋体" w:cs="宋体"/>
          <w:sz w:val="24"/>
          <w:lang w:val="en-US" w:eastAsia="zh-CN"/>
        </w:rPr>
        <w:t>5</w:t>
      </w:r>
      <w:r>
        <w:rPr>
          <w:rFonts w:hint="eastAsia" w:ascii="宋体" w:hAnsi="宋体" w:cs="宋体"/>
          <w:sz w:val="24"/>
          <w:lang w:val="zh-CN"/>
        </w:rPr>
        <w:t>、本项目的特定资格要求：</w:t>
      </w:r>
      <w:r>
        <w:rPr>
          <w:rFonts w:hint="eastAsia" w:ascii="宋体" w:hAnsi="宋体" w:cs="宋体"/>
          <w:sz w:val="24"/>
          <w:lang w:val="en-US" w:eastAsia="zh-CN"/>
        </w:rPr>
        <w:t>无</w:t>
      </w:r>
    </w:p>
    <w:bookmarkEnd w:id="9"/>
    <w:bookmarkEnd w:id="10"/>
    <w:bookmarkEnd w:id="11"/>
    <w:bookmarkEnd w:id="12"/>
    <w:p w14:paraId="48B59D0B">
      <w:pPr>
        <w:spacing w:line="420" w:lineRule="exact"/>
        <w:rPr>
          <w:rFonts w:ascii="宋体" w:cs="宋体"/>
          <w:b/>
          <w:bCs/>
          <w:sz w:val="24"/>
        </w:rPr>
      </w:pPr>
      <w:bookmarkStart w:id="13" w:name="_Toc28359007"/>
      <w:bookmarkStart w:id="14" w:name="_Toc35393794"/>
      <w:bookmarkStart w:id="15" w:name="_Toc35393625"/>
      <w:bookmarkStart w:id="16" w:name="_Toc28359084"/>
      <w:r>
        <w:rPr>
          <w:rFonts w:hint="eastAsia" w:ascii="宋体" w:hAnsi="宋体" w:cs="宋体"/>
          <w:b/>
          <w:bCs/>
          <w:sz w:val="24"/>
        </w:rPr>
        <w:t>三、报名：</w:t>
      </w:r>
    </w:p>
    <w:p w14:paraId="183E601E">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14:paraId="7C230B5A">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14:paraId="6D6FEE7A">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color w:val="0000FF"/>
          <w:sz w:val="24"/>
          <w:highlight w:val="yellow"/>
        </w:rPr>
        <w:t>202</w:t>
      </w:r>
      <w:r>
        <w:rPr>
          <w:rFonts w:hint="eastAsia" w:ascii="宋体" w:hAnsi="宋体" w:cs="宋体"/>
          <w:color w:val="0000FF"/>
          <w:sz w:val="24"/>
          <w:highlight w:val="yellow"/>
        </w:rPr>
        <w:t>4</w:t>
      </w:r>
      <w:r>
        <w:rPr>
          <w:rFonts w:ascii="宋体" w:hAnsi="宋体" w:cs="宋体"/>
          <w:color w:val="0000FF"/>
          <w:sz w:val="24"/>
          <w:highlight w:val="yellow"/>
        </w:rPr>
        <w:t>年</w:t>
      </w:r>
      <w:r>
        <w:rPr>
          <w:rFonts w:hint="eastAsia" w:ascii="宋体" w:hAnsi="宋体" w:cs="宋体"/>
          <w:color w:val="0000FF"/>
          <w:sz w:val="24"/>
          <w:highlight w:val="yellow"/>
        </w:rPr>
        <w:t xml:space="preserve">7 </w:t>
      </w:r>
      <w:r>
        <w:rPr>
          <w:rFonts w:ascii="宋体" w:hAnsi="宋体" w:cs="宋体"/>
          <w:color w:val="0000FF"/>
          <w:sz w:val="24"/>
          <w:highlight w:val="yellow"/>
        </w:rPr>
        <w:t>月</w:t>
      </w:r>
      <w:r>
        <w:rPr>
          <w:rFonts w:hint="eastAsia" w:ascii="宋体" w:hAnsi="宋体" w:cs="宋体"/>
          <w:color w:val="0000FF"/>
          <w:sz w:val="24"/>
          <w:highlight w:val="yellow"/>
          <w:lang w:val="en-US" w:eastAsia="zh-CN"/>
        </w:rPr>
        <w:t>30</w:t>
      </w:r>
      <w:r>
        <w:rPr>
          <w:rFonts w:ascii="宋体" w:hAnsi="宋体" w:cs="宋体"/>
          <w:color w:val="0000FF"/>
          <w:sz w:val="24"/>
          <w:highlight w:val="yellow"/>
        </w:rPr>
        <w:t>日</w:t>
      </w:r>
      <w:r>
        <w:rPr>
          <w:rFonts w:hint="eastAsia" w:ascii="宋体" w:hAnsi="宋体" w:cs="宋体"/>
          <w:color w:val="0000FF"/>
          <w:sz w:val="24"/>
          <w:highlight w:val="yellow"/>
        </w:rPr>
        <w:t>-</w:t>
      </w:r>
      <w:r>
        <w:rPr>
          <w:rFonts w:ascii="宋体" w:hAnsi="宋体" w:cs="宋体"/>
          <w:color w:val="0000FF"/>
          <w:sz w:val="24"/>
          <w:highlight w:val="yellow"/>
        </w:rPr>
        <w:t>20</w:t>
      </w:r>
      <w:r>
        <w:rPr>
          <w:rFonts w:hint="eastAsia" w:ascii="宋体" w:hAnsi="宋体" w:cs="宋体"/>
          <w:color w:val="0000FF"/>
          <w:sz w:val="24"/>
          <w:highlight w:val="yellow"/>
        </w:rPr>
        <w:t>24年</w:t>
      </w:r>
      <w:r>
        <w:rPr>
          <w:rFonts w:hint="eastAsia" w:ascii="宋体" w:hAnsi="宋体" w:cs="宋体"/>
          <w:color w:val="0000FF"/>
          <w:sz w:val="24"/>
          <w:highlight w:val="yellow"/>
          <w:lang w:val="en-US" w:eastAsia="zh-CN"/>
        </w:rPr>
        <w:t>8</w:t>
      </w:r>
      <w:bookmarkStart w:id="58" w:name="_GoBack"/>
      <w:bookmarkEnd w:id="58"/>
      <w:r>
        <w:rPr>
          <w:rFonts w:hint="eastAsia" w:ascii="宋体" w:hAnsi="宋体" w:cs="宋体"/>
          <w:color w:val="0000FF"/>
          <w:sz w:val="24"/>
          <w:highlight w:val="yellow"/>
        </w:rPr>
        <w:t xml:space="preserve">月 </w:t>
      </w:r>
      <w:r>
        <w:rPr>
          <w:rFonts w:hint="eastAsia" w:ascii="宋体" w:hAnsi="宋体" w:cs="宋体"/>
          <w:color w:val="0000FF"/>
          <w:sz w:val="24"/>
          <w:highlight w:val="yellow"/>
          <w:lang w:val="en-US" w:eastAsia="zh-CN"/>
        </w:rPr>
        <w:t>5</w:t>
      </w:r>
      <w:r>
        <w:rPr>
          <w:rFonts w:hint="eastAsia" w:ascii="宋体" w:hAnsi="宋体" w:cs="宋体"/>
          <w:color w:val="0000FF"/>
          <w:sz w:val="24"/>
          <w:highlight w:val="yellow"/>
        </w:rPr>
        <w:t xml:space="preserve">  日</w:t>
      </w:r>
    </w:p>
    <w:p w14:paraId="38CB3F8C">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14:paraId="61C7757B">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本项目竞争性磋商文件于黄石市中心医院官网上发布。</w:t>
      </w:r>
      <w:bookmarkEnd w:id="13"/>
      <w:bookmarkEnd w:id="14"/>
      <w:bookmarkEnd w:id="15"/>
      <w:bookmarkEnd w:id="16"/>
      <w:bookmarkStart w:id="17" w:name="_Toc528493164"/>
      <w:bookmarkStart w:id="18" w:name="_Toc528494275"/>
      <w:bookmarkStart w:id="19" w:name="_Toc528493083"/>
      <w:bookmarkStart w:id="20" w:name="_Toc528493576"/>
      <w:bookmarkStart w:id="21" w:name="_Toc528493131"/>
    </w:p>
    <w:p w14:paraId="0F096D15">
      <w:pPr>
        <w:snapToGrid w:val="0"/>
        <w:spacing w:line="420" w:lineRule="exact"/>
        <w:ind w:firstLine="504" w:firstLineChars="210"/>
        <w:rPr>
          <w:rFonts w:hint="default" w:ascii="宋体" w:hAnsi="宋体" w:eastAsia="宋体" w:cs="宋体"/>
          <w:sz w:val="24"/>
          <w:lang w:val="en-US" w:eastAsia="zh-CN"/>
        </w:rPr>
      </w:pPr>
      <w:r>
        <w:rPr>
          <w:rFonts w:hint="eastAsia" w:ascii="宋体" w:hAnsi="宋体" w:cs="宋体"/>
          <w:sz w:val="24"/>
        </w:rPr>
        <w:t>4、开标时间：</w:t>
      </w:r>
      <w:r>
        <w:rPr>
          <w:rFonts w:hint="eastAsia" w:ascii="宋体" w:hAnsi="宋体" w:cs="宋体"/>
          <w:sz w:val="24"/>
          <w:lang w:val="en-US" w:eastAsia="zh-CN"/>
        </w:rPr>
        <w:t>2024年7月6日上午9：00</w:t>
      </w:r>
    </w:p>
    <w:p w14:paraId="26617D8F">
      <w:pPr>
        <w:spacing w:line="420" w:lineRule="exact"/>
        <w:ind w:firstLine="420" w:firstLineChars="200"/>
        <w:rPr>
          <w:rFonts w:ascii="宋体" w:hAnsi="宋体" w:cs="宋体"/>
        </w:rPr>
      </w:pPr>
    </w:p>
    <w:p w14:paraId="3B8E670A">
      <w:pPr>
        <w:pStyle w:val="1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14:paraId="4E477454">
      <w:pPr>
        <w:pStyle w:val="7"/>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14:paraId="4D2BF366">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14:paraId="29C95EAD">
      <w:pPr>
        <w:pStyle w:val="7"/>
        <w:adjustRightInd w:val="0"/>
        <w:snapToGrid w:val="0"/>
        <w:spacing w:line="500" w:lineRule="exact"/>
        <w:rPr>
          <w:rFonts w:hAnsi="宋体"/>
          <w:b/>
          <w:sz w:val="24"/>
          <w:szCs w:val="24"/>
        </w:rPr>
      </w:pPr>
      <w:r>
        <w:rPr>
          <w:rFonts w:hint="eastAsia" w:hAnsi="宋体"/>
          <w:b/>
          <w:sz w:val="24"/>
          <w:szCs w:val="24"/>
        </w:rPr>
        <w:t>1．适用范围</w:t>
      </w:r>
    </w:p>
    <w:p w14:paraId="71098B3F">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14:paraId="3C868EDE">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14:paraId="73280F1A">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14:paraId="23959B9D">
      <w:pPr>
        <w:spacing w:line="500" w:lineRule="exact"/>
        <w:rPr>
          <w:rFonts w:ascii="宋体" w:hAnsi="宋体" w:cs="宋体"/>
          <w:bCs/>
          <w:sz w:val="24"/>
        </w:rPr>
      </w:pPr>
      <w:r>
        <w:rPr>
          <w:rFonts w:hint="eastAsia" w:ascii="宋体" w:hAnsi="宋体" w:cs="宋体"/>
          <w:bCs/>
          <w:sz w:val="24"/>
        </w:rPr>
        <w:t xml:space="preserve">2.1“采购人”是指：黄石市中心医院。             </w:t>
      </w:r>
    </w:p>
    <w:p w14:paraId="37945042">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14:paraId="331CD38F">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14:paraId="349440F3">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14:paraId="2BC07AAB">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14:paraId="1B4FD7EC">
      <w:pPr>
        <w:pStyle w:val="7"/>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14:paraId="08F65BE1">
      <w:pPr>
        <w:pStyle w:val="7"/>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3"/>
      <w:r>
        <w:rPr>
          <w:rStyle w:val="16"/>
          <w:rFonts w:hint="eastAsia" w:hAnsi="宋体" w:cs="宋体"/>
          <w:sz w:val="24"/>
          <w:szCs w:val="24"/>
        </w:rPr>
        <w:t>的澄清与修改</w:t>
      </w:r>
    </w:p>
    <w:p w14:paraId="482B0DCA">
      <w:pPr>
        <w:pStyle w:val="7"/>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14:paraId="6E1234B5">
      <w:pPr>
        <w:pStyle w:val="7"/>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14:paraId="4CE2261B">
      <w:pPr>
        <w:pStyle w:val="7"/>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14:paraId="28E44043">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14:paraId="37A4ED36">
      <w:pPr>
        <w:pStyle w:val="7"/>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14:paraId="7EF2D94A">
      <w:pPr>
        <w:spacing w:line="500" w:lineRule="exact"/>
        <w:rPr>
          <w:rStyle w:val="16"/>
          <w:rFonts w:ascii="宋体" w:hAnsi="宋体" w:cs="宋体"/>
          <w:sz w:val="24"/>
          <w:szCs w:val="24"/>
        </w:rPr>
      </w:pPr>
      <w:bookmarkStart w:id="24" w:name="_Toc528494278"/>
      <w:r>
        <w:rPr>
          <w:rStyle w:val="16"/>
          <w:rFonts w:hint="eastAsia" w:ascii="宋体" w:hAnsi="宋体" w:cs="宋体"/>
          <w:sz w:val="24"/>
          <w:szCs w:val="24"/>
        </w:rPr>
        <w:t>三、竞争性磋商响应文件</w:t>
      </w:r>
      <w:bookmarkEnd w:id="24"/>
    </w:p>
    <w:p w14:paraId="29DAC30B">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14:paraId="3E3EAF90">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14:paraId="4EF0A5AC">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14:paraId="356CFD3C">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14:paraId="778E1147">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14:paraId="3B0312D3">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14:paraId="5215641D">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14:paraId="54D89713">
      <w:pPr>
        <w:widowControl/>
        <w:spacing w:line="500" w:lineRule="exact"/>
        <w:jc w:val="left"/>
        <w:rPr>
          <w:rFonts w:ascii="宋体" w:hAnsi="宋体" w:cs="宋体"/>
          <w:sz w:val="24"/>
        </w:rPr>
      </w:pPr>
      <w:r>
        <w:rPr>
          <w:rFonts w:hint="eastAsia" w:ascii="宋体" w:hAnsi="宋体" w:cs="宋体"/>
          <w:sz w:val="24"/>
        </w:rPr>
        <w:t>（3）磋商响应书。</w:t>
      </w:r>
    </w:p>
    <w:p w14:paraId="3D738561">
      <w:pPr>
        <w:widowControl/>
        <w:spacing w:line="500" w:lineRule="exact"/>
        <w:jc w:val="left"/>
        <w:rPr>
          <w:rFonts w:ascii="宋体" w:hAnsi="宋体" w:cs="宋体"/>
          <w:sz w:val="24"/>
        </w:rPr>
      </w:pPr>
      <w:r>
        <w:rPr>
          <w:rFonts w:hint="eastAsia" w:ascii="宋体" w:hAnsi="宋体" w:cs="宋体"/>
          <w:sz w:val="24"/>
        </w:rPr>
        <w:t>（4）磋商报价表（首次报价）。</w:t>
      </w:r>
    </w:p>
    <w:p w14:paraId="5FE87913">
      <w:pPr>
        <w:widowControl/>
        <w:spacing w:line="500" w:lineRule="exact"/>
        <w:jc w:val="left"/>
        <w:rPr>
          <w:rFonts w:ascii="宋体" w:hAnsi="宋体" w:cs="宋体"/>
          <w:sz w:val="24"/>
        </w:rPr>
      </w:pPr>
      <w:r>
        <w:rPr>
          <w:rFonts w:hint="eastAsia" w:ascii="宋体" w:hAnsi="宋体" w:cs="宋体"/>
          <w:sz w:val="24"/>
        </w:rPr>
        <w:t>（5）技术响应、偏离说明表。</w:t>
      </w:r>
    </w:p>
    <w:p w14:paraId="3234E06F">
      <w:pPr>
        <w:widowControl/>
        <w:spacing w:line="500" w:lineRule="exact"/>
        <w:jc w:val="left"/>
        <w:rPr>
          <w:rFonts w:ascii="宋体" w:hAnsi="宋体" w:cs="宋体"/>
          <w:sz w:val="24"/>
        </w:rPr>
      </w:pPr>
      <w:r>
        <w:rPr>
          <w:rFonts w:hint="eastAsia" w:ascii="宋体" w:hAnsi="宋体" w:cs="宋体"/>
          <w:sz w:val="24"/>
        </w:rPr>
        <w:t>（6）商务响应、偏离说明表。</w:t>
      </w:r>
    </w:p>
    <w:p w14:paraId="17B943BF">
      <w:pPr>
        <w:spacing w:line="500" w:lineRule="exact"/>
        <w:rPr>
          <w:rFonts w:ascii="宋体" w:hAnsi="宋体" w:cs="宋体"/>
          <w:kern w:val="0"/>
          <w:sz w:val="24"/>
        </w:rPr>
      </w:pPr>
      <w:r>
        <w:rPr>
          <w:rFonts w:hint="eastAsia" w:ascii="宋体" w:hAnsi="宋体" w:cs="宋体"/>
          <w:sz w:val="24"/>
        </w:rPr>
        <w:t>（7）磋商供应商认为需要提供的其他相关资料。</w:t>
      </w:r>
    </w:p>
    <w:p w14:paraId="0F7A148E">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14:paraId="366952C2">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14:paraId="131FB463">
      <w:pPr>
        <w:spacing w:line="500" w:lineRule="exact"/>
        <w:rPr>
          <w:rStyle w:val="16"/>
          <w:rFonts w:ascii="宋体" w:hAnsi="宋体" w:cs="宋体"/>
          <w:sz w:val="24"/>
          <w:szCs w:val="24"/>
        </w:rPr>
      </w:pPr>
      <w:bookmarkStart w:id="25" w:name="_Toc528493084"/>
      <w:bookmarkStart w:id="26" w:name="_Toc528494280"/>
      <w:bookmarkStart w:id="27" w:name="_Toc528493132"/>
      <w:bookmarkStart w:id="28" w:name="_Toc528493165"/>
      <w:bookmarkStart w:id="29" w:name="_Toc528493577"/>
      <w:r>
        <w:rPr>
          <w:rStyle w:val="16"/>
          <w:rFonts w:hint="eastAsia" w:ascii="宋体" w:hAnsi="宋体" w:cs="宋体"/>
          <w:sz w:val="24"/>
          <w:szCs w:val="24"/>
        </w:rPr>
        <w:t>2．磋商报价要求</w:t>
      </w:r>
      <w:bookmarkEnd w:id="25"/>
      <w:bookmarkEnd w:id="26"/>
      <w:bookmarkEnd w:id="27"/>
      <w:bookmarkEnd w:id="28"/>
      <w:bookmarkEnd w:id="29"/>
    </w:p>
    <w:p w14:paraId="3BC49383">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14:paraId="246CC9AD">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14:paraId="66ECD1BB">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14:paraId="56BDE0FD">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14:paraId="33A2A6F8">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14:paraId="12EED22E">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14:paraId="17320B60">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14:paraId="12715105">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14:paraId="37253486">
      <w:pPr>
        <w:spacing w:line="500" w:lineRule="exact"/>
        <w:rPr>
          <w:rFonts w:ascii="宋体" w:hAnsi="宋体" w:cs="宋体"/>
          <w:b/>
          <w:bCs/>
          <w:sz w:val="24"/>
          <w:szCs w:val="24"/>
        </w:rPr>
      </w:pPr>
      <w:r>
        <w:rPr>
          <w:rFonts w:hint="eastAsia" w:ascii="宋体" w:hAnsi="宋体" w:cs="宋体"/>
          <w:b/>
          <w:bCs/>
          <w:sz w:val="24"/>
          <w:szCs w:val="24"/>
        </w:rPr>
        <w:t>4．磋商响应文件的递交</w:t>
      </w:r>
    </w:p>
    <w:p w14:paraId="4827166F">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14:paraId="2F538BD6">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14:paraId="5C7B0A65">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14:paraId="03508A5B">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14:paraId="27E4DA99">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14:paraId="232271B9">
      <w:pPr>
        <w:pStyle w:val="7"/>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14:paraId="0DC9E637">
      <w:pPr>
        <w:pStyle w:val="7"/>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14:paraId="4EF98173">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14:paraId="6B38C404">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14:paraId="714B037E">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14:paraId="1C2F2ADE">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14:paraId="6823C094">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14:paraId="5B448017">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14:paraId="0528282D">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14:paraId="25F31DED">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14:paraId="184FD4C9">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14:paraId="0530C2A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14:paraId="444793E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14:paraId="3C8BAF7B">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14:paraId="6BA23190">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14:paraId="3DA97651">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14:paraId="3775B0F2">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14:paraId="074EFD2E">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14:paraId="45F3F82E">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14:paraId="140255D9">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14:paraId="2D991398">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14:paraId="37200062">
      <w:pPr>
        <w:spacing w:line="500" w:lineRule="exact"/>
        <w:rPr>
          <w:rFonts w:ascii="宋体" w:hAnsi="宋体" w:cs="宋体"/>
          <w:bCs/>
          <w:sz w:val="24"/>
        </w:rPr>
      </w:pPr>
      <w:r>
        <w:rPr>
          <w:rFonts w:hint="eastAsia" w:ascii="宋体" w:hAnsi="宋体" w:cs="宋体"/>
          <w:bCs/>
          <w:sz w:val="24"/>
        </w:rPr>
        <w:t>12.5最终报价是供应商响应文件的有效组成部分。</w:t>
      </w:r>
    </w:p>
    <w:p w14:paraId="095EA9F3">
      <w:pPr>
        <w:spacing w:line="500" w:lineRule="exact"/>
        <w:rPr>
          <w:rStyle w:val="16"/>
          <w:rFonts w:ascii="宋体" w:hAnsi="宋体" w:cs="宋体"/>
          <w:sz w:val="24"/>
          <w:szCs w:val="24"/>
        </w:rPr>
      </w:pPr>
      <w:bookmarkStart w:id="30" w:name="_Toc528494284"/>
      <w:r>
        <w:rPr>
          <w:rStyle w:val="16"/>
          <w:rFonts w:hint="eastAsia" w:ascii="宋体" w:hAnsi="宋体" w:cs="宋体"/>
          <w:sz w:val="24"/>
          <w:szCs w:val="24"/>
        </w:rPr>
        <w:t>六、确定成交供应商办法</w:t>
      </w:r>
      <w:bookmarkEnd w:id="30"/>
    </w:p>
    <w:p w14:paraId="38F1F2C8">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14:paraId="187D2411">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14:paraId="7779A04D">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14:paraId="65305834">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14:paraId="6FE3C872">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14:paraId="67A803AA">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14:paraId="76A2B786">
      <w:pPr>
        <w:spacing w:line="500" w:lineRule="exact"/>
        <w:rPr>
          <w:rFonts w:ascii="宋体" w:hAnsi="宋体"/>
          <w:b/>
          <w:sz w:val="24"/>
        </w:rPr>
      </w:pPr>
      <w:bookmarkStart w:id="31" w:name="_Toc266776863"/>
      <w:r>
        <w:rPr>
          <w:rFonts w:hint="eastAsia" w:ascii="宋体" w:hAnsi="宋体"/>
          <w:b/>
          <w:sz w:val="24"/>
        </w:rPr>
        <w:t>2、签订合同</w:t>
      </w:r>
      <w:bookmarkEnd w:id="31"/>
    </w:p>
    <w:p w14:paraId="1184423B">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14:paraId="30EB1B96">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14:paraId="4170690B">
      <w:pPr>
        <w:pStyle w:val="9"/>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14:paraId="5C576658">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3"/>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7620"/>
      </w:tblGrid>
      <w:tr w14:paraId="4FB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24C656E3">
            <w:pPr>
              <w:jc w:val="center"/>
              <w:rPr>
                <w:rFonts w:hint="eastAsia" w:ascii="宋体" w:hAnsi="宋体" w:cs="宋体"/>
                <w:sz w:val="18"/>
                <w:szCs w:val="18"/>
              </w:rPr>
            </w:pPr>
            <w:bookmarkStart w:id="32" w:name="_Toc528493134"/>
            <w:bookmarkStart w:id="33" w:name="_Toc528493579"/>
            <w:bookmarkStart w:id="34" w:name="_Toc528493086"/>
            <w:bookmarkStart w:id="35" w:name="_Toc528494285"/>
            <w:bookmarkStart w:id="36" w:name="_Toc528493167"/>
            <w:r>
              <w:rPr>
                <w:rFonts w:hint="eastAsia" w:ascii="宋体" w:hAnsi="宋体" w:cs="宋体"/>
                <w:b/>
                <w:sz w:val="18"/>
                <w:szCs w:val="18"/>
              </w:rPr>
              <w:t>评 分 项 目</w:t>
            </w:r>
          </w:p>
        </w:tc>
        <w:tc>
          <w:tcPr>
            <w:tcW w:w="7620" w:type="dxa"/>
            <w:shd w:val="clear" w:color="auto" w:fill="auto"/>
            <w:noWrap w:val="0"/>
            <w:vAlign w:val="center"/>
          </w:tcPr>
          <w:p w14:paraId="402D3082">
            <w:pPr>
              <w:jc w:val="center"/>
              <w:rPr>
                <w:rFonts w:hint="eastAsia" w:ascii="宋体" w:hAnsi="宋体" w:cs="宋体"/>
                <w:b/>
                <w:sz w:val="18"/>
                <w:szCs w:val="18"/>
              </w:rPr>
            </w:pPr>
            <w:r>
              <w:rPr>
                <w:rFonts w:hint="eastAsia" w:ascii="宋体" w:hAnsi="宋体" w:cs="宋体"/>
                <w:b/>
                <w:sz w:val="18"/>
                <w:szCs w:val="18"/>
              </w:rPr>
              <w:t>标  准  及  分  值</w:t>
            </w:r>
          </w:p>
        </w:tc>
      </w:tr>
      <w:tr w14:paraId="5750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55C44947">
            <w:pPr>
              <w:pStyle w:val="11"/>
              <w:jc w:val="center"/>
              <w:rPr>
                <w:rFonts w:hint="eastAsia"/>
                <w:sz w:val="18"/>
                <w:szCs w:val="18"/>
              </w:rPr>
            </w:pPr>
            <w:r>
              <w:rPr>
                <w:rFonts w:hint="eastAsia"/>
                <w:sz w:val="18"/>
                <w:szCs w:val="18"/>
              </w:rPr>
              <w:t>磋商报价</w:t>
            </w:r>
          </w:p>
          <w:p w14:paraId="6A825318">
            <w:pPr>
              <w:jc w:val="center"/>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3</w:t>
            </w:r>
            <w:r>
              <w:rPr>
                <w:rFonts w:hint="eastAsia" w:ascii="宋体" w:hAnsi="宋体" w:cs="宋体"/>
                <w:sz w:val="18"/>
                <w:szCs w:val="18"/>
              </w:rPr>
              <w:t>0分）</w:t>
            </w:r>
          </w:p>
        </w:tc>
        <w:tc>
          <w:tcPr>
            <w:tcW w:w="7620" w:type="dxa"/>
            <w:shd w:val="clear" w:color="auto" w:fill="auto"/>
            <w:noWrap w:val="0"/>
            <w:vAlign w:val="top"/>
          </w:tcPr>
          <w:p w14:paraId="09B24DBA">
            <w:pPr>
              <w:rPr>
                <w:rFonts w:hint="eastAsia" w:ascii="宋体" w:hAnsi="宋体" w:cs="宋体"/>
                <w:sz w:val="18"/>
                <w:szCs w:val="18"/>
              </w:rPr>
            </w:pPr>
            <w:r>
              <w:rPr>
                <w:rFonts w:hint="eastAsia" w:ascii="宋体" w:hAnsi="宋体" w:cs="宋体"/>
                <w:sz w:val="18"/>
                <w:szCs w:val="18"/>
              </w:rPr>
              <w:t>通过初步审核的有效报价，进入价格评议环节。</w:t>
            </w:r>
          </w:p>
          <w:p w14:paraId="0BD15FF3">
            <w:pPr>
              <w:rPr>
                <w:rFonts w:hint="eastAsia" w:ascii="宋体" w:hAnsi="宋体" w:cs="宋体"/>
                <w:sz w:val="18"/>
                <w:szCs w:val="18"/>
              </w:rPr>
            </w:pPr>
            <w:r>
              <w:rPr>
                <w:rFonts w:hint="eastAsia" w:ascii="宋体" w:hAnsi="宋体" w:cs="宋体"/>
                <w:sz w:val="18"/>
                <w:szCs w:val="18"/>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14:paraId="41435B04">
            <w:pPr>
              <w:rPr>
                <w:rFonts w:hint="eastAsia" w:ascii="宋体" w:hAnsi="宋体" w:cs="宋体"/>
                <w:sz w:val="18"/>
                <w:szCs w:val="18"/>
              </w:rPr>
            </w:pPr>
            <w:r>
              <w:rPr>
                <w:rFonts w:hint="eastAsia" w:ascii="宋体" w:hAnsi="宋体" w:cs="宋体"/>
                <w:sz w:val="18"/>
                <w:szCs w:val="18"/>
              </w:rPr>
              <w:t>磋商报价得分=（评标基准价/磋商报价）×</w:t>
            </w:r>
            <w:r>
              <w:rPr>
                <w:rFonts w:hint="eastAsia" w:ascii="宋体" w:hAnsi="宋体" w:cs="宋体"/>
                <w:sz w:val="18"/>
                <w:szCs w:val="18"/>
                <w:lang w:val="en-US" w:eastAsia="zh-CN"/>
              </w:rPr>
              <w:t>3</w:t>
            </w:r>
            <w:r>
              <w:rPr>
                <w:rFonts w:hint="eastAsia" w:ascii="宋体" w:hAnsi="宋体" w:cs="宋体"/>
                <w:sz w:val="18"/>
                <w:szCs w:val="18"/>
              </w:rPr>
              <w:t>0%×100。</w:t>
            </w:r>
          </w:p>
        </w:tc>
      </w:tr>
      <w:tr w14:paraId="1BC8D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49B6F729">
            <w:pPr>
              <w:pStyle w:val="11"/>
              <w:jc w:val="center"/>
              <w:rPr>
                <w:rFonts w:hint="eastAsia"/>
                <w:sz w:val="18"/>
                <w:szCs w:val="18"/>
              </w:rPr>
            </w:pPr>
            <w:r>
              <w:rPr>
                <w:rFonts w:hint="eastAsia"/>
                <w:sz w:val="18"/>
                <w:szCs w:val="18"/>
              </w:rPr>
              <w:t>技术</w:t>
            </w:r>
          </w:p>
          <w:p w14:paraId="5BC93289">
            <w:pPr>
              <w:jc w:val="center"/>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3</w:t>
            </w:r>
            <w:r>
              <w:rPr>
                <w:rFonts w:hint="eastAsia" w:ascii="宋体" w:hAnsi="宋体" w:cs="宋体"/>
                <w:sz w:val="18"/>
                <w:szCs w:val="18"/>
              </w:rPr>
              <w:t>0分）</w:t>
            </w:r>
          </w:p>
        </w:tc>
        <w:tc>
          <w:tcPr>
            <w:tcW w:w="7620" w:type="dxa"/>
            <w:shd w:val="clear" w:color="auto" w:fill="auto"/>
            <w:noWrap w:val="0"/>
            <w:vAlign w:val="top"/>
          </w:tcPr>
          <w:p w14:paraId="3FFEECF3">
            <w:pPr>
              <w:rPr>
                <w:rFonts w:hint="eastAsia" w:ascii="宋体" w:hAnsi="宋体" w:cs="宋体"/>
                <w:sz w:val="18"/>
                <w:szCs w:val="18"/>
              </w:rPr>
            </w:pPr>
            <w:r>
              <w:rPr>
                <w:rFonts w:hint="eastAsia" w:ascii="宋体" w:hAnsi="宋体" w:cs="宋体"/>
                <w:sz w:val="18"/>
                <w:szCs w:val="18"/>
              </w:rPr>
              <w:t>1．技术指标全部符合招标要求得40分。</w:t>
            </w:r>
          </w:p>
          <w:p w14:paraId="05A771F2">
            <w:pPr>
              <w:rPr>
                <w:rFonts w:hint="eastAsia" w:ascii="宋体" w:hAnsi="宋体" w:cs="宋体"/>
                <w:sz w:val="18"/>
                <w:szCs w:val="18"/>
              </w:rPr>
            </w:pPr>
            <w:r>
              <w:rPr>
                <w:rFonts w:hint="eastAsia" w:ascii="宋体" w:hAnsi="宋体" w:cs="宋体"/>
                <w:sz w:val="18"/>
                <w:szCs w:val="18"/>
              </w:rPr>
              <w:t>2．未标注“▲”号的一般性技术参数提供彩色宣传资料并加盖厂商公章，不提供或不满足招标要求的，每一项减2分。</w:t>
            </w:r>
          </w:p>
          <w:p w14:paraId="6437A626">
            <w:pPr>
              <w:rPr>
                <w:rFonts w:hint="eastAsia" w:ascii="宋体" w:hAnsi="宋体" w:cs="宋体"/>
                <w:sz w:val="18"/>
                <w:szCs w:val="18"/>
              </w:rPr>
            </w:pPr>
            <w:r>
              <w:rPr>
                <w:rFonts w:hint="eastAsia" w:ascii="宋体" w:hAnsi="宋体" w:cs="宋体"/>
                <w:sz w:val="18"/>
                <w:szCs w:val="18"/>
              </w:rPr>
              <w:t>3．标注“▲”号的重要性技术参数不满足招标要求的，每一项减4分。(供应商在磋商文件中必须载明所投设备的技术证明或检测报告，以及参数部分或彩色宣传资料等证明材料)</w:t>
            </w:r>
          </w:p>
        </w:tc>
      </w:tr>
      <w:tr w14:paraId="07AF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311F91CF">
            <w:pPr>
              <w:pStyle w:val="11"/>
              <w:jc w:val="center"/>
              <w:rPr>
                <w:rFonts w:hint="eastAsia"/>
                <w:sz w:val="18"/>
                <w:szCs w:val="18"/>
              </w:rPr>
            </w:pPr>
            <w:r>
              <w:rPr>
                <w:rFonts w:hint="eastAsia"/>
                <w:sz w:val="18"/>
                <w:szCs w:val="18"/>
              </w:rPr>
              <w:t>投标人资质</w:t>
            </w:r>
          </w:p>
          <w:p w14:paraId="45FB8D46">
            <w:pPr>
              <w:jc w:val="center"/>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分）</w:t>
            </w:r>
          </w:p>
        </w:tc>
        <w:tc>
          <w:tcPr>
            <w:tcW w:w="7620" w:type="dxa"/>
            <w:shd w:val="clear" w:color="auto" w:fill="auto"/>
            <w:noWrap w:val="0"/>
            <w:vAlign w:val="top"/>
          </w:tcPr>
          <w:p w14:paraId="544D4577">
            <w:pPr>
              <w:rPr>
                <w:rFonts w:hint="eastAsia" w:ascii="宋体" w:hAnsi="宋体" w:cs="宋体"/>
                <w:kern w:val="0"/>
                <w:sz w:val="18"/>
                <w:szCs w:val="18"/>
              </w:rPr>
            </w:pPr>
            <w:r>
              <w:rPr>
                <w:rFonts w:hint="eastAsia" w:ascii="宋体" w:hAnsi="宋体" w:cs="宋体"/>
                <w:kern w:val="0"/>
                <w:sz w:val="18"/>
                <w:szCs w:val="18"/>
              </w:rPr>
              <w:t>1、投标人所拥有的高级工程师（项目经理、项目技术负责人）具有国家有关部门颁发的“信息系统项目管理师”证书；提供一个得</w:t>
            </w:r>
            <w:r>
              <w:rPr>
                <w:rFonts w:ascii="宋体" w:hAnsi="宋体" w:cs="宋体"/>
                <w:kern w:val="0"/>
                <w:sz w:val="18"/>
                <w:szCs w:val="18"/>
              </w:rPr>
              <w:t>2</w:t>
            </w:r>
            <w:r>
              <w:rPr>
                <w:rFonts w:hint="eastAsia" w:ascii="宋体" w:hAnsi="宋体" w:cs="宋体"/>
                <w:kern w:val="0"/>
                <w:sz w:val="18"/>
                <w:szCs w:val="18"/>
              </w:rPr>
              <w:t>分，最高得</w:t>
            </w:r>
            <w:r>
              <w:rPr>
                <w:rFonts w:ascii="宋体" w:hAnsi="宋体" w:cs="宋体"/>
                <w:kern w:val="0"/>
                <w:sz w:val="18"/>
                <w:szCs w:val="18"/>
              </w:rPr>
              <w:t>4</w:t>
            </w:r>
            <w:r>
              <w:rPr>
                <w:rFonts w:hint="eastAsia" w:ascii="宋体" w:hAnsi="宋体" w:cs="宋体"/>
                <w:kern w:val="0"/>
                <w:sz w:val="18"/>
                <w:szCs w:val="18"/>
              </w:rPr>
              <w:t>分，没有不得分。（以证书为准，彩色影印件加盖投标人公章及近三个月社保证明）。</w:t>
            </w:r>
          </w:p>
          <w:p w14:paraId="2B18451E">
            <w:pPr>
              <w:rPr>
                <w:rFonts w:hint="eastAsia" w:ascii="宋体" w:hAnsi="宋体" w:cs="宋体"/>
                <w:sz w:val="18"/>
                <w:szCs w:val="18"/>
              </w:rPr>
            </w:pPr>
            <w:r>
              <w:rPr>
                <w:rFonts w:hint="eastAsia" w:ascii="宋体" w:hAnsi="宋体" w:cs="宋体"/>
                <w:kern w:val="0"/>
                <w:sz w:val="18"/>
                <w:szCs w:val="18"/>
              </w:rPr>
              <w:t>2、投标人所拥有的项目运维服务团队人员</w:t>
            </w:r>
            <w:r>
              <w:rPr>
                <w:rFonts w:hint="eastAsia" w:ascii="宋体" w:hAnsi="宋体" w:cs="宋体"/>
                <w:sz w:val="18"/>
                <w:szCs w:val="18"/>
              </w:rPr>
              <w:t>具有国家工信部考核通过颁发“网络设备调试员（三级/高级技能）”证书</w:t>
            </w:r>
            <w:r>
              <w:rPr>
                <w:rFonts w:hint="eastAsia" w:ascii="宋体" w:hAnsi="宋体" w:cs="宋体"/>
                <w:kern w:val="0"/>
                <w:sz w:val="18"/>
                <w:szCs w:val="18"/>
              </w:rPr>
              <w:t>的得</w:t>
            </w:r>
            <w:r>
              <w:rPr>
                <w:rFonts w:ascii="宋体" w:hAnsi="宋体" w:cs="宋体"/>
                <w:kern w:val="0"/>
                <w:sz w:val="18"/>
                <w:szCs w:val="18"/>
              </w:rPr>
              <w:t>2</w:t>
            </w:r>
            <w:r>
              <w:rPr>
                <w:rFonts w:hint="eastAsia" w:ascii="宋体" w:hAnsi="宋体" w:cs="宋体"/>
                <w:kern w:val="0"/>
                <w:sz w:val="18"/>
                <w:szCs w:val="18"/>
              </w:rPr>
              <w:t>分，没有不得分（以证书为准，彩色影印件加盖投标人公章及近三个月社保证明）。</w:t>
            </w:r>
          </w:p>
        </w:tc>
      </w:tr>
      <w:tr w14:paraId="35ED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60ECF6B0">
            <w:pPr>
              <w:pStyle w:val="11"/>
              <w:jc w:val="center"/>
              <w:rPr>
                <w:sz w:val="18"/>
                <w:szCs w:val="18"/>
              </w:rPr>
            </w:pPr>
            <w:r>
              <w:rPr>
                <w:rFonts w:hint="eastAsia"/>
                <w:sz w:val="18"/>
                <w:szCs w:val="18"/>
              </w:rPr>
              <w:t>企业技术力量</w:t>
            </w:r>
          </w:p>
          <w:p w14:paraId="4F7F9F30">
            <w:pPr>
              <w:pStyle w:val="11"/>
              <w:jc w:val="center"/>
              <w:rPr>
                <w:rFonts w:hint="eastAsia"/>
                <w:sz w:val="18"/>
                <w:szCs w:val="18"/>
              </w:rPr>
            </w:pPr>
            <w:r>
              <w:rPr>
                <w:rFonts w:hint="eastAsia"/>
                <w:sz w:val="18"/>
                <w:szCs w:val="18"/>
              </w:rPr>
              <w:t>（</w:t>
            </w:r>
            <w:r>
              <w:rPr>
                <w:sz w:val="18"/>
                <w:szCs w:val="18"/>
              </w:rPr>
              <w:t>4</w:t>
            </w:r>
            <w:r>
              <w:rPr>
                <w:rFonts w:hint="eastAsia"/>
                <w:sz w:val="18"/>
                <w:szCs w:val="18"/>
              </w:rPr>
              <w:t>分）</w:t>
            </w:r>
          </w:p>
        </w:tc>
        <w:tc>
          <w:tcPr>
            <w:tcW w:w="7620" w:type="dxa"/>
            <w:shd w:val="clear" w:color="auto" w:fill="auto"/>
            <w:noWrap w:val="0"/>
            <w:vAlign w:val="top"/>
          </w:tcPr>
          <w:p w14:paraId="1F58A4B2">
            <w:pPr>
              <w:spacing w:line="240" w:lineRule="exact"/>
              <w:jc w:val="left"/>
              <w:rPr>
                <w:rFonts w:hAnsi="宋体"/>
                <w:sz w:val="18"/>
                <w:szCs w:val="18"/>
              </w:rPr>
            </w:pPr>
            <w:r>
              <w:rPr>
                <w:rFonts w:hint="eastAsia" w:hAnsi="宋体"/>
                <w:sz w:val="18"/>
                <w:szCs w:val="18"/>
              </w:rPr>
              <w:t>投标人具有所投交换机交换机生产厂家代理商资质的，得</w:t>
            </w:r>
            <w:r>
              <w:rPr>
                <w:rFonts w:hAnsi="宋体"/>
                <w:sz w:val="18"/>
                <w:szCs w:val="18"/>
              </w:rPr>
              <w:t>4</w:t>
            </w:r>
            <w:r>
              <w:rPr>
                <w:rFonts w:hint="eastAsia" w:hAnsi="宋体"/>
                <w:sz w:val="18"/>
                <w:szCs w:val="18"/>
              </w:rPr>
              <w:t>分。</w:t>
            </w:r>
          </w:p>
          <w:p w14:paraId="1F8DEFA3">
            <w:pPr>
              <w:rPr>
                <w:rFonts w:hint="eastAsia" w:ascii="宋体" w:hAnsi="宋体" w:cs="宋体"/>
                <w:kern w:val="0"/>
                <w:sz w:val="18"/>
                <w:szCs w:val="18"/>
              </w:rPr>
            </w:pPr>
            <w:r>
              <w:rPr>
                <w:rFonts w:hint="eastAsia" w:hAnsi="宋体"/>
                <w:sz w:val="18"/>
                <w:szCs w:val="18"/>
              </w:rPr>
              <w:t>（投标文件需提供代理商资质证书官网查询链接及查询结果截图、或者生产厂家授权函）</w:t>
            </w:r>
          </w:p>
        </w:tc>
      </w:tr>
      <w:tr w14:paraId="41F03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5963A45C">
            <w:pPr>
              <w:pStyle w:val="11"/>
              <w:jc w:val="center"/>
              <w:rPr>
                <w:sz w:val="18"/>
                <w:szCs w:val="18"/>
              </w:rPr>
            </w:pPr>
            <w:r>
              <w:rPr>
                <w:sz w:val="18"/>
                <w:szCs w:val="18"/>
              </w:rPr>
              <w:t>企业业绩</w:t>
            </w:r>
          </w:p>
          <w:p w14:paraId="2C2691A3">
            <w:pPr>
              <w:pStyle w:val="11"/>
              <w:jc w:val="center"/>
              <w:rPr>
                <w:rFonts w:hint="eastAsia"/>
                <w:sz w:val="18"/>
                <w:szCs w:val="18"/>
              </w:rPr>
            </w:pPr>
            <w:r>
              <w:rPr>
                <w:rFonts w:hint="eastAsia"/>
                <w:sz w:val="18"/>
                <w:szCs w:val="18"/>
              </w:rPr>
              <w:t>（1</w:t>
            </w:r>
            <w:r>
              <w:rPr>
                <w:sz w:val="18"/>
                <w:szCs w:val="18"/>
              </w:rPr>
              <w:t>0</w:t>
            </w:r>
            <w:r>
              <w:rPr>
                <w:rFonts w:hint="eastAsia"/>
                <w:sz w:val="18"/>
                <w:szCs w:val="18"/>
              </w:rPr>
              <w:t>分）</w:t>
            </w:r>
          </w:p>
        </w:tc>
        <w:tc>
          <w:tcPr>
            <w:tcW w:w="7620" w:type="dxa"/>
            <w:shd w:val="clear" w:color="auto" w:fill="auto"/>
            <w:noWrap w:val="0"/>
            <w:vAlign w:val="top"/>
          </w:tcPr>
          <w:p w14:paraId="56BF0F4F">
            <w:pPr>
              <w:spacing w:line="240" w:lineRule="exact"/>
              <w:rPr>
                <w:rFonts w:hAnsi="宋体"/>
                <w:sz w:val="18"/>
                <w:szCs w:val="18"/>
              </w:rPr>
            </w:pPr>
            <w:r>
              <w:rPr>
                <w:rFonts w:hint="eastAsia" w:hAnsi="宋体"/>
                <w:sz w:val="18"/>
                <w:szCs w:val="18"/>
              </w:rPr>
              <w:t>投标人提供近三年以来网络建设、改造同类案例的，每份得</w:t>
            </w:r>
            <w:r>
              <w:rPr>
                <w:rFonts w:hAnsi="宋体"/>
                <w:sz w:val="18"/>
                <w:szCs w:val="18"/>
              </w:rPr>
              <w:t>2</w:t>
            </w:r>
            <w:r>
              <w:rPr>
                <w:rFonts w:hint="eastAsia" w:hAnsi="宋体"/>
                <w:sz w:val="18"/>
                <w:szCs w:val="18"/>
              </w:rPr>
              <w:t>分，最高得1</w:t>
            </w:r>
            <w:r>
              <w:rPr>
                <w:rFonts w:hAnsi="宋体"/>
                <w:sz w:val="18"/>
                <w:szCs w:val="18"/>
              </w:rPr>
              <w:t>0</w:t>
            </w:r>
            <w:r>
              <w:rPr>
                <w:rFonts w:hint="eastAsia" w:hAnsi="宋体"/>
                <w:sz w:val="18"/>
                <w:szCs w:val="18"/>
              </w:rPr>
              <w:t>分。</w:t>
            </w:r>
          </w:p>
          <w:p w14:paraId="34411289">
            <w:pPr>
              <w:spacing w:line="240" w:lineRule="exact"/>
              <w:jc w:val="left"/>
              <w:rPr>
                <w:rFonts w:hint="eastAsia" w:hAnsi="宋体"/>
                <w:sz w:val="18"/>
                <w:szCs w:val="18"/>
              </w:rPr>
            </w:pPr>
            <w:r>
              <w:rPr>
                <w:rFonts w:hint="eastAsia" w:hAnsi="宋体"/>
                <w:sz w:val="18"/>
                <w:szCs w:val="18"/>
              </w:rPr>
              <w:t>（投标文件中须附完整的合同复印件以及中标通知书，时间以合同签订之日计算，投标人在标书须提供所附合同客户的联系人和联系方式待查）。</w:t>
            </w:r>
          </w:p>
        </w:tc>
      </w:tr>
      <w:tr w14:paraId="6607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6D3E4E2D">
            <w:pPr>
              <w:jc w:val="center"/>
              <w:rPr>
                <w:rFonts w:hint="eastAsia" w:ascii="宋体" w:hAnsi="宋体" w:cs="宋体"/>
                <w:sz w:val="18"/>
                <w:szCs w:val="18"/>
              </w:rPr>
            </w:pPr>
            <w:r>
              <w:rPr>
                <w:rFonts w:hint="eastAsia" w:ascii="宋体" w:hAnsi="宋体" w:cs="宋体"/>
                <w:sz w:val="18"/>
                <w:szCs w:val="18"/>
              </w:rPr>
              <w:t>售后服务方案</w:t>
            </w:r>
          </w:p>
          <w:p w14:paraId="0EF209B3">
            <w:pPr>
              <w:jc w:val="center"/>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分）</w:t>
            </w:r>
          </w:p>
        </w:tc>
        <w:tc>
          <w:tcPr>
            <w:tcW w:w="7620" w:type="dxa"/>
            <w:shd w:val="clear" w:color="auto" w:fill="auto"/>
            <w:noWrap w:val="0"/>
            <w:vAlign w:val="top"/>
          </w:tcPr>
          <w:p w14:paraId="76F76A40">
            <w:pPr>
              <w:tabs>
                <w:tab w:val="left" w:pos="567"/>
                <w:tab w:val="left" w:pos="851"/>
              </w:tabs>
              <w:snapToGrid w:val="0"/>
              <w:rPr>
                <w:rFonts w:hint="eastAsia" w:cs="宋体"/>
                <w:bCs/>
                <w:color w:val="000000"/>
                <w:szCs w:val="21"/>
                <w:lang w:val="en-US" w:eastAsia="zh-CN"/>
              </w:rPr>
            </w:pPr>
            <w:r>
              <w:rPr>
                <w:rFonts w:hint="eastAsia" w:cs="宋体"/>
                <w:bCs/>
                <w:color w:val="000000"/>
                <w:szCs w:val="21"/>
                <w:lang w:val="en-US" w:eastAsia="zh-CN"/>
              </w:rPr>
              <w:t>1、评审内容：</w:t>
            </w:r>
          </w:p>
          <w:p w14:paraId="192F10F6">
            <w:pPr>
              <w:tabs>
                <w:tab w:val="left" w:pos="567"/>
                <w:tab w:val="left" w:pos="851"/>
              </w:tabs>
              <w:snapToGrid w:val="0"/>
              <w:rPr>
                <w:rFonts w:hint="eastAsia" w:ascii="宋体" w:hAnsi="宋体"/>
              </w:rPr>
            </w:pPr>
            <w:r>
              <w:rPr>
                <w:rFonts w:hint="eastAsia" w:ascii="宋体" w:hAnsi="宋体"/>
              </w:rPr>
              <w:t>投标供应商应根据公司自身优势和黄石市中心医院现状，并结合本项目实际情况，自行编制售后服务方案，方案包括但不限于（评分项）：①售后服务体系；②售后服务团队及人员相关证书；③售后管理制度；④售后服务技术支持；⑤售后服务进度安排；</w:t>
            </w:r>
          </w:p>
          <w:p w14:paraId="4208D035">
            <w:pPr>
              <w:tabs>
                <w:tab w:val="left" w:pos="567"/>
                <w:tab w:val="left" w:pos="851"/>
              </w:tabs>
              <w:snapToGrid w:val="0"/>
              <w:rPr>
                <w:rFonts w:hint="eastAsia" w:cs="宋体"/>
                <w:bCs/>
                <w:color w:val="000000"/>
                <w:szCs w:val="21"/>
              </w:rPr>
            </w:pPr>
            <w:r>
              <w:rPr>
                <w:rFonts w:hint="eastAsia" w:cs="宋体"/>
                <w:bCs/>
                <w:color w:val="000000"/>
                <w:szCs w:val="21"/>
                <w:lang w:val="en-US" w:eastAsia="zh-CN"/>
              </w:rPr>
              <w:t>2、</w:t>
            </w:r>
            <w:r>
              <w:rPr>
                <w:rFonts w:hint="eastAsia" w:cs="宋体"/>
                <w:bCs/>
                <w:color w:val="000000"/>
                <w:szCs w:val="21"/>
              </w:rPr>
              <w:t xml:space="preserve">评审标准： </w:t>
            </w:r>
          </w:p>
          <w:p w14:paraId="307A80C0">
            <w:pPr>
              <w:tabs>
                <w:tab w:val="left" w:pos="567"/>
                <w:tab w:val="left" w:pos="851"/>
              </w:tabs>
              <w:snapToGrid w:val="0"/>
              <w:rPr>
                <w:rFonts w:hint="eastAsia" w:cs="宋体"/>
                <w:bCs/>
                <w:color w:val="000000"/>
                <w:szCs w:val="21"/>
              </w:rPr>
            </w:pPr>
            <w:r>
              <w:rPr>
                <w:rFonts w:hint="eastAsia" w:cs="宋体"/>
                <w:bCs/>
                <w:color w:val="000000"/>
                <w:szCs w:val="21"/>
              </w:rPr>
              <w:t>①科学性：切合采购人单位</w:t>
            </w:r>
            <w:r>
              <w:rPr>
                <w:rFonts w:hint="eastAsia" w:cs="宋体"/>
                <w:bCs/>
                <w:color w:val="000000"/>
                <w:szCs w:val="21"/>
                <w:lang w:val="en-US" w:eastAsia="zh-CN"/>
              </w:rPr>
              <w:t>性质</w:t>
            </w:r>
            <w:r>
              <w:rPr>
                <w:rFonts w:hint="eastAsia" w:cs="宋体"/>
                <w:bCs/>
                <w:color w:val="000000"/>
                <w:szCs w:val="21"/>
              </w:rPr>
              <w:t xml:space="preserve">及本项目实际情况，叙述清楚、符合客观实际。 </w:t>
            </w:r>
          </w:p>
          <w:p w14:paraId="7FA6A46A">
            <w:pPr>
              <w:tabs>
                <w:tab w:val="left" w:pos="567"/>
                <w:tab w:val="left" w:pos="851"/>
              </w:tabs>
              <w:snapToGrid w:val="0"/>
              <w:rPr>
                <w:rFonts w:hint="eastAsia" w:cs="宋体"/>
                <w:bCs/>
                <w:color w:val="000000"/>
                <w:szCs w:val="21"/>
              </w:rPr>
            </w:pPr>
            <w:r>
              <w:rPr>
                <w:rFonts w:hint="eastAsia" w:cs="宋体"/>
                <w:bCs/>
                <w:color w:val="000000"/>
                <w:szCs w:val="21"/>
                <w:lang w:val="en-US" w:eastAsia="zh-CN"/>
              </w:rPr>
              <w:t>②</w:t>
            </w:r>
            <w:r>
              <w:rPr>
                <w:rFonts w:hint="eastAsia" w:cs="宋体"/>
                <w:bCs/>
                <w:color w:val="000000"/>
                <w:szCs w:val="21"/>
              </w:rPr>
              <w:t xml:space="preserve">合理性：符合项目具体情况，提出的制度方针标准客观、严谨，实施措施方案合理、恰当。 </w:t>
            </w:r>
          </w:p>
          <w:p w14:paraId="0ADA6253">
            <w:pPr>
              <w:tabs>
                <w:tab w:val="left" w:pos="567"/>
                <w:tab w:val="left" w:pos="851"/>
              </w:tabs>
              <w:snapToGrid w:val="0"/>
              <w:rPr>
                <w:rFonts w:hint="default" w:cs="宋体"/>
                <w:bCs/>
                <w:color w:val="000000"/>
                <w:szCs w:val="21"/>
                <w:lang w:val="en-US" w:eastAsia="zh-CN"/>
              </w:rPr>
            </w:pPr>
            <w:r>
              <w:rPr>
                <w:rFonts w:hint="eastAsia" w:cs="宋体"/>
                <w:bCs/>
                <w:color w:val="000000"/>
                <w:szCs w:val="21"/>
                <w:lang w:val="en-US" w:eastAsia="zh-CN"/>
              </w:rPr>
              <w:t>3、评分细则：</w:t>
            </w:r>
          </w:p>
          <w:p w14:paraId="51B7DEB1">
            <w:pPr>
              <w:widowControl/>
              <w:jc w:val="left"/>
              <w:rPr>
                <w:rFonts w:hint="eastAsia" w:ascii="宋体" w:hAnsi="宋体" w:cs="宋体"/>
                <w:sz w:val="18"/>
                <w:szCs w:val="18"/>
              </w:rPr>
            </w:pPr>
            <w:r>
              <w:rPr>
                <w:rFonts w:hint="eastAsia" w:cs="宋体"/>
                <w:bCs/>
                <w:color w:val="000000"/>
                <w:szCs w:val="21"/>
                <w:lang w:val="en-US" w:eastAsia="zh-CN"/>
              </w:rPr>
              <w:t>评标委员会</w:t>
            </w:r>
            <w:r>
              <w:rPr>
                <w:rFonts w:hint="eastAsia" w:cs="宋体"/>
                <w:bCs/>
                <w:color w:val="000000"/>
                <w:szCs w:val="21"/>
              </w:rPr>
              <w:t>对</w:t>
            </w:r>
            <w:r>
              <w:rPr>
                <w:rFonts w:hint="eastAsia" w:cs="宋体"/>
                <w:bCs/>
                <w:color w:val="000000"/>
                <w:szCs w:val="21"/>
                <w:lang w:val="en-US" w:eastAsia="zh-CN"/>
              </w:rPr>
              <w:t>以上5</w:t>
            </w:r>
            <w:r>
              <w:rPr>
                <w:rFonts w:hint="eastAsia" w:cs="宋体"/>
                <w:bCs/>
                <w:color w:val="000000"/>
                <w:szCs w:val="21"/>
              </w:rPr>
              <w:t>项评审内容进行</w:t>
            </w:r>
            <w:r>
              <w:rPr>
                <w:rFonts w:hint="eastAsia" w:cs="宋体"/>
                <w:bCs/>
                <w:color w:val="000000"/>
                <w:szCs w:val="21"/>
                <w:lang w:val="en-US" w:eastAsia="zh-CN"/>
              </w:rPr>
              <w:t>评分</w:t>
            </w:r>
            <w:r>
              <w:rPr>
                <w:rFonts w:hint="eastAsia" w:cs="宋体"/>
                <w:bCs/>
                <w:color w:val="000000"/>
                <w:szCs w:val="21"/>
              </w:rPr>
              <w:t>，每项评审内容</w:t>
            </w:r>
            <w:r>
              <w:rPr>
                <w:rFonts w:hint="eastAsia" w:cs="宋体"/>
                <w:bCs/>
                <w:color w:val="000000"/>
                <w:szCs w:val="21"/>
                <w:lang w:val="en-US" w:eastAsia="zh-CN"/>
              </w:rPr>
              <w:t>响应</w:t>
            </w:r>
            <w:r>
              <w:rPr>
                <w:rFonts w:hint="eastAsia" w:cs="宋体"/>
                <w:bCs/>
                <w:color w:val="000000"/>
                <w:szCs w:val="21"/>
              </w:rPr>
              <w:t>完全满足评审标准的得</w:t>
            </w:r>
            <w:r>
              <w:rPr>
                <w:rFonts w:hint="eastAsia" w:cs="宋体"/>
                <w:bCs/>
                <w:color w:val="000000"/>
                <w:szCs w:val="21"/>
                <w:lang w:val="en-US" w:eastAsia="zh-CN"/>
              </w:rPr>
              <w:t>1</w:t>
            </w:r>
            <w:r>
              <w:rPr>
                <w:rFonts w:hint="eastAsia" w:cs="宋体"/>
                <w:bCs/>
                <w:color w:val="000000"/>
                <w:szCs w:val="21"/>
              </w:rPr>
              <w:t>分，最高得</w:t>
            </w:r>
            <w:r>
              <w:rPr>
                <w:rFonts w:hint="eastAsia" w:cs="宋体"/>
                <w:bCs/>
                <w:color w:val="000000"/>
                <w:szCs w:val="21"/>
                <w:lang w:val="en-US" w:eastAsia="zh-CN"/>
              </w:rPr>
              <w:t>5</w:t>
            </w:r>
            <w:r>
              <w:rPr>
                <w:rFonts w:hint="eastAsia" w:cs="宋体"/>
                <w:bCs/>
                <w:color w:val="000000"/>
                <w:szCs w:val="21"/>
              </w:rPr>
              <w:t>分。</w:t>
            </w:r>
            <w:r>
              <w:rPr>
                <w:rFonts w:hint="eastAsia" w:ascii="宋体" w:hAnsi="宋体"/>
                <w:bCs/>
                <w:szCs w:val="21"/>
              </w:rPr>
              <w:t>。</w:t>
            </w:r>
          </w:p>
        </w:tc>
      </w:tr>
      <w:tr w14:paraId="2E7A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4F07C772">
            <w:pPr>
              <w:jc w:val="center"/>
              <w:rPr>
                <w:rFonts w:hint="eastAsia" w:ascii="宋体" w:hAnsi="宋体" w:cs="宋体"/>
                <w:sz w:val="18"/>
                <w:szCs w:val="18"/>
              </w:rPr>
            </w:pPr>
            <w:r>
              <w:rPr>
                <w:rFonts w:hint="eastAsia" w:ascii="宋体" w:hAnsi="宋体" w:cs="宋体"/>
                <w:sz w:val="18"/>
                <w:szCs w:val="18"/>
              </w:rPr>
              <w:t>培训计划</w:t>
            </w:r>
          </w:p>
          <w:p w14:paraId="27989A33">
            <w:pPr>
              <w:jc w:val="center"/>
              <w:rPr>
                <w:rFonts w:hint="eastAsia" w:ascii="宋体" w:hAnsi="宋体" w:cs="宋体"/>
                <w:sz w:val="18"/>
                <w:szCs w:val="18"/>
              </w:rPr>
            </w:pPr>
            <w:r>
              <w:rPr>
                <w:rFonts w:hint="eastAsia" w:ascii="宋体" w:hAnsi="宋体" w:cs="宋体"/>
                <w:sz w:val="18"/>
                <w:szCs w:val="18"/>
              </w:rPr>
              <w:t>（</w:t>
            </w:r>
            <w:r>
              <w:rPr>
                <w:rFonts w:ascii="宋体" w:hAnsi="宋体" w:cs="宋体"/>
                <w:sz w:val="18"/>
                <w:szCs w:val="18"/>
              </w:rPr>
              <w:t>5</w:t>
            </w:r>
            <w:r>
              <w:rPr>
                <w:rFonts w:hint="eastAsia" w:ascii="宋体" w:hAnsi="宋体" w:cs="宋体"/>
                <w:sz w:val="18"/>
                <w:szCs w:val="18"/>
              </w:rPr>
              <w:t>分）</w:t>
            </w:r>
          </w:p>
        </w:tc>
        <w:tc>
          <w:tcPr>
            <w:tcW w:w="7620" w:type="dxa"/>
            <w:shd w:val="clear" w:color="auto" w:fill="auto"/>
            <w:noWrap w:val="0"/>
            <w:vAlign w:val="top"/>
          </w:tcPr>
          <w:p w14:paraId="07F66841">
            <w:pPr>
              <w:tabs>
                <w:tab w:val="left" w:pos="567"/>
                <w:tab w:val="left" w:pos="851"/>
              </w:tabs>
              <w:snapToGrid w:val="0"/>
              <w:rPr>
                <w:rFonts w:hint="eastAsia" w:cs="宋体"/>
                <w:bCs/>
                <w:color w:val="000000"/>
                <w:szCs w:val="21"/>
                <w:lang w:val="en-US" w:eastAsia="zh-CN"/>
              </w:rPr>
            </w:pPr>
            <w:r>
              <w:rPr>
                <w:rFonts w:hint="eastAsia" w:cs="宋体"/>
                <w:bCs/>
                <w:color w:val="000000"/>
                <w:szCs w:val="21"/>
                <w:lang w:val="en-US" w:eastAsia="zh-CN"/>
              </w:rPr>
              <w:t>1、评审内容：</w:t>
            </w:r>
          </w:p>
          <w:p w14:paraId="424209AA">
            <w:pPr>
              <w:tabs>
                <w:tab w:val="left" w:pos="567"/>
                <w:tab w:val="left" w:pos="851"/>
              </w:tabs>
              <w:snapToGrid w:val="0"/>
              <w:rPr>
                <w:rFonts w:hint="eastAsia" w:ascii="宋体" w:hAnsi="宋体"/>
              </w:rPr>
            </w:pPr>
            <w:r>
              <w:rPr>
                <w:rFonts w:hint="eastAsia" w:ascii="宋体" w:hAnsi="宋体"/>
              </w:rPr>
              <w:t>投标供应商应根据公司自身优势和黄石市中心医院现状，并结合本项目实际情况，自行编制售后服务方案，方案包括但不限于（评分项）：①售后服务体系；②售后服务团队及人员相关证书；③售后管理制度；④售后服务技术支持；⑤售后服务进度安排；</w:t>
            </w:r>
          </w:p>
          <w:p w14:paraId="3FE364BB">
            <w:pPr>
              <w:tabs>
                <w:tab w:val="left" w:pos="567"/>
                <w:tab w:val="left" w:pos="851"/>
              </w:tabs>
              <w:snapToGrid w:val="0"/>
              <w:rPr>
                <w:rFonts w:hint="eastAsia" w:cs="宋体"/>
                <w:bCs/>
                <w:color w:val="000000"/>
                <w:szCs w:val="21"/>
              </w:rPr>
            </w:pPr>
            <w:r>
              <w:rPr>
                <w:rFonts w:hint="eastAsia" w:cs="宋体"/>
                <w:bCs/>
                <w:color w:val="000000"/>
                <w:szCs w:val="21"/>
                <w:lang w:val="en-US" w:eastAsia="zh-CN"/>
              </w:rPr>
              <w:t>2、</w:t>
            </w:r>
            <w:r>
              <w:rPr>
                <w:rFonts w:hint="eastAsia" w:cs="宋体"/>
                <w:bCs/>
                <w:color w:val="000000"/>
                <w:szCs w:val="21"/>
              </w:rPr>
              <w:t xml:space="preserve">评审标准： </w:t>
            </w:r>
          </w:p>
          <w:p w14:paraId="20C547EB">
            <w:pPr>
              <w:tabs>
                <w:tab w:val="left" w:pos="567"/>
                <w:tab w:val="left" w:pos="851"/>
              </w:tabs>
              <w:snapToGrid w:val="0"/>
              <w:rPr>
                <w:rFonts w:hint="eastAsia" w:cs="宋体"/>
                <w:bCs/>
                <w:color w:val="000000"/>
                <w:szCs w:val="21"/>
              </w:rPr>
            </w:pPr>
            <w:r>
              <w:rPr>
                <w:rFonts w:hint="eastAsia" w:cs="宋体"/>
                <w:bCs/>
                <w:color w:val="000000"/>
                <w:szCs w:val="21"/>
              </w:rPr>
              <w:t>①科学性：切合采购人单位</w:t>
            </w:r>
            <w:r>
              <w:rPr>
                <w:rFonts w:hint="eastAsia" w:cs="宋体"/>
                <w:bCs/>
                <w:color w:val="000000"/>
                <w:szCs w:val="21"/>
                <w:lang w:val="en-US" w:eastAsia="zh-CN"/>
              </w:rPr>
              <w:t>性质</w:t>
            </w:r>
            <w:r>
              <w:rPr>
                <w:rFonts w:hint="eastAsia" w:cs="宋体"/>
                <w:bCs/>
                <w:color w:val="000000"/>
                <w:szCs w:val="21"/>
              </w:rPr>
              <w:t xml:space="preserve">及本项目实际情况，叙述清楚、符合客观实际。 </w:t>
            </w:r>
          </w:p>
          <w:p w14:paraId="1E4D9B5A">
            <w:pPr>
              <w:tabs>
                <w:tab w:val="left" w:pos="567"/>
                <w:tab w:val="left" w:pos="851"/>
              </w:tabs>
              <w:snapToGrid w:val="0"/>
              <w:rPr>
                <w:rFonts w:hint="eastAsia" w:cs="宋体"/>
                <w:bCs/>
                <w:color w:val="000000"/>
                <w:szCs w:val="21"/>
              </w:rPr>
            </w:pPr>
            <w:r>
              <w:rPr>
                <w:rFonts w:hint="eastAsia" w:cs="宋体"/>
                <w:bCs/>
                <w:color w:val="000000"/>
                <w:szCs w:val="21"/>
                <w:lang w:val="en-US" w:eastAsia="zh-CN"/>
              </w:rPr>
              <w:t>②</w:t>
            </w:r>
            <w:r>
              <w:rPr>
                <w:rFonts w:hint="eastAsia" w:cs="宋体"/>
                <w:bCs/>
                <w:color w:val="000000"/>
                <w:szCs w:val="21"/>
              </w:rPr>
              <w:t xml:space="preserve">合理性：符合项目具体情况，提出的制度方针标准客观、严谨，实施措施方案合理、恰当。 </w:t>
            </w:r>
          </w:p>
          <w:p w14:paraId="6A68F9FF">
            <w:pPr>
              <w:tabs>
                <w:tab w:val="left" w:pos="567"/>
                <w:tab w:val="left" w:pos="851"/>
              </w:tabs>
              <w:snapToGrid w:val="0"/>
              <w:rPr>
                <w:rFonts w:hint="default" w:cs="宋体"/>
                <w:bCs/>
                <w:color w:val="000000"/>
                <w:szCs w:val="21"/>
                <w:lang w:val="en-US" w:eastAsia="zh-CN"/>
              </w:rPr>
            </w:pPr>
            <w:r>
              <w:rPr>
                <w:rFonts w:hint="eastAsia" w:cs="宋体"/>
                <w:bCs/>
                <w:color w:val="000000"/>
                <w:szCs w:val="21"/>
                <w:lang w:val="en-US" w:eastAsia="zh-CN"/>
              </w:rPr>
              <w:t>3、评分细则：</w:t>
            </w:r>
          </w:p>
          <w:p w14:paraId="086574CA">
            <w:pPr>
              <w:rPr>
                <w:rFonts w:hint="eastAsia" w:ascii="宋体" w:hAnsi="宋体" w:cs="宋体"/>
                <w:sz w:val="18"/>
                <w:szCs w:val="18"/>
              </w:rPr>
            </w:pPr>
            <w:r>
              <w:rPr>
                <w:rFonts w:hint="eastAsia" w:cs="宋体"/>
                <w:bCs/>
                <w:color w:val="000000"/>
                <w:szCs w:val="21"/>
                <w:lang w:val="en-US" w:eastAsia="zh-CN"/>
              </w:rPr>
              <w:t>评标委员会</w:t>
            </w:r>
            <w:r>
              <w:rPr>
                <w:rFonts w:hint="eastAsia" w:cs="宋体"/>
                <w:bCs/>
                <w:color w:val="000000"/>
                <w:szCs w:val="21"/>
              </w:rPr>
              <w:t>对</w:t>
            </w:r>
            <w:r>
              <w:rPr>
                <w:rFonts w:hint="eastAsia" w:cs="宋体"/>
                <w:bCs/>
                <w:color w:val="000000"/>
                <w:szCs w:val="21"/>
                <w:lang w:val="en-US" w:eastAsia="zh-CN"/>
              </w:rPr>
              <w:t>以上5</w:t>
            </w:r>
            <w:r>
              <w:rPr>
                <w:rFonts w:hint="eastAsia" w:cs="宋体"/>
                <w:bCs/>
                <w:color w:val="000000"/>
                <w:szCs w:val="21"/>
              </w:rPr>
              <w:t>项评审内容进行</w:t>
            </w:r>
            <w:r>
              <w:rPr>
                <w:rFonts w:hint="eastAsia" w:cs="宋体"/>
                <w:bCs/>
                <w:color w:val="000000"/>
                <w:szCs w:val="21"/>
                <w:lang w:val="en-US" w:eastAsia="zh-CN"/>
              </w:rPr>
              <w:t>评分</w:t>
            </w:r>
            <w:r>
              <w:rPr>
                <w:rFonts w:hint="eastAsia" w:cs="宋体"/>
                <w:bCs/>
                <w:color w:val="000000"/>
                <w:szCs w:val="21"/>
              </w:rPr>
              <w:t>，每项评审内容</w:t>
            </w:r>
            <w:r>
              <w:rPr>
                <w:rFonts w:hint="eastAsia" w:cs="宋体"/>
                <w:bCs/>
                <w:color w:val="000000"/>
                <w:szCs w:val="21"/>
                <w:lang w:val="en-US" w:eastAsia="zh-CN"/>
              </w:rPr>
              <w:t>响应</w:t>
            </w:r>
            <w:r>
              <w:rPr>
                <w:rFonts w:hint="eastAsia" w:cs="宋体"/>
                <w:bCs/>
                <w:color w:val="000000"/>
                <w:szCs w:val="21"/>
              </w:rPr>
              <w:t>完全满足评审标准的得</w:t>
            </w:r>
            <w:r>
              <w:rPr>
                <w:rFonts w:hint="eastAsia" w:cs="宋体"/>
                <w:bCs/>
                <w:color w:val="000000"/>
                <w:szCs w:val="21"/>
                <w:lang w:val="en-US" w:eastAsia="zh-CN"/>
              </w:rPr>
              <w:t>1</w:t>
            </w:r>
            <w:r>
              <w:rPr>
                <w:rFonts w:hint="eastAsia" w:cs="宋体"/>
                <w:bCs/>
                <w:color w:val="000000"/>
                <w:szCs w:val="21"/>
              </w:rPr>
              <w:t>分，最高得</w:t>
            </w:r>
            <w:r>
              <w:rPr>
                <w:rFonts w:hint="eastAsia" w:cs="宋体"/>
                <w:bCs/>
                <w:color w:val="000000"/>
                <w:szCs w:val="21"/>
                <w:lang w:val="en-US" w:eastAsia="zh-CN"/>
              </w:rPr>
              <w:t>5</w:t>
            </w:r>
            <w:r>
              <w:rPr>
                <w:rFonts w:hint="eastAsia" w:cs="宋体"/>
                <w:bCs/>
                <w:color w:val="000000"/>
                <w:szCs w:val="21"/>
              </w:rPr>
              <w:t>分。</w:t>
            </w:r>
          </w:p>
        </w:tc>
      </w:tr>
      <w:tr w14:paraId="683A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center"/>
          </w:tcPr>
          <w:p w14:paraId="73CA8BA5">
            <w:pPr>
              <w:jc w:val="center"/>
              <w:rPr>
                <w:rFonts w:hint="eastAsia" w:ascii="宋体" w:hAnsi="宋体" w:cs="宋体"/>
                <w:sz w:val="18"/>
                <w:szCs w:val="18"/>
              </w:rPr>
            </w:pPr>
            <w:r>
              <w:rPr>
                <w:rFonts w:hint="eastAsia" w:ascii="宋体" w:hAnsi="宋体" w:cs="宋体"/>
                <w:sz w:val="18"/>
                <w:szCs w:val="18"/>
              </w:rPr>
              <w:t>整体方案</w:t>
            </w:r>
          </w:p>
          <w:p w14:paraId="065B1323">
            <w:pPr>
              <w:jc w:val="center"/>
              <w:rPr>
                <w:rFonts w:hint="eastAsia" w:ascii="宋体" w:hAnsi="宋体" w:cs="宋体"/>
                <w:sz w:val="18"/>
                <w:szCs w:val="18"/>
              </w:rPr>
            </w:pPr>
            <w:r>
              <w:rPr>
                <w:rFonts w:hint="eastAsia" w:ascii="宋体" w:hAnsi="宋体" w:cs="宋体"/>
                <w:sz w:val="18"/>
                <w:szCs w:val="18"/>
              </w:rPr>
              <w:t>（</w:t>
            </w:r>
            <w:r>
              <w:rPr>
                <w:rFonts w:hint="eastAsia" w:ascii="宋体" w:hAnsi="宋体" w:cs="宋体"/>
                <w:sz w:val="18"/>
                <w:szCs w:val="18"/>
                <w:lang w:val="en-US" w:eastAsia="zh-CN"/>
              </w:rPr>
              <w:t>10</w:t>
            </w:r>
            <w:r>
              <w:rPr>
                <w:rFonts w:hint="eastAsia" w:ascii="宋体" w:hAnsi="宋体" w:cs="宋体"/>
                <w:sz w:val="18"/>
                <w:szCs w:val="18"/>
              </w:rPr>
              <w:t>分）</w:t>
            </w:r>
          </w:p>
        </w:tc>
        <w:tc>
          <w:tcPr>
            <w:tcW w:w="7620" w:type="dxa"/>
            <w:shd w:val="clear" w:color="auto" w:fill="auto"/>
            <w:noWrap w:val="0"/>
            <w:vAlign w:val="top"/>
          </w:tcPr>
          <w:p w14:paraId="73A09328">
            <w:pPr>
              <w:tabs>
                <w:tab w:val="left" w:pos="567"/>
                <w:tab w:val="left" w:pos="851"/>
              </w:tabs>
              <w:snapToGrid w:val="0"/>
              <w:rPr>
                <w:rFonts w:hint="eastAsia" w:cs="宋体"/>
                <w:bCs/>
                <w:color w:val="000000"/>
                <w:szCs w:val="21"/>
                <w:lang w:val="en-US" w:eastAsia="zh-CN"/>
              </w:rPr>
            </w:pPr>
            <w:r>
              <w:rPr>
                <w:rFonts w:hint="eastAsia" w:cs="宋体"/>
                <w:bCs/>
                <w:color w:val="000000"/>
                <w:szCs w:val="21"/>
                <w:lang w:val="en-US" w:eastAsia="zh-CN"/>
              </w:rPr>
              <w:t>1、评审内容：</w:t>
            </w:r>
          </w:p>
          <w:p w14:paraId="061C1FA1">
            <w:pPr>
              <w:rPr>
                <w:rFonts w:ascii="宋体" w:hAnsi="宋体"/>
                <w:szCs w:val="21"/>
              </w:rPr>
            </w:pPr>
            <w:r>
              <w:rPr>
                <w:rFonts w:hint="eastAsia" w:cs="宋体"/>
                <w:bCs/>
                <w:color w:val="000000"/>
                <w:szCs w:val="21"/>
                <w:lang w:val="en-US" w:eastAsia="zh-CN"/>
              </w:rPr>
              <w:t>供应商根据对项目需求的理解提供提供详细的项目实施方案（设计方案），方案包含</w:t>
            </w:r>
            <w:r>
              <w:rPr>
                <w:rFonts w:hint="eastAsia" w:cs="宋体"/>
                <w:bCs/>
                <w:color w:val="000000"/>
                <w:szCs w:val="21"/>
              </w:rPr>
              <w:t>但不限于：</w:t>
            </w:r>
            <w:r>
              <w:rPr>
                <w:rFonts w:hint="eastAsia" w:ascii="宋体" w:hAnsi="宋体"/>
                <w:szCs w:val="21"/>
              </w:rPr>
              <w:t>进度管理计划、质量管理计划、安全管理计划、环境管理计划、成本管理计划、合同管理计划，组织协调管理计划、质量保修管理计划、人力资源、施工机具</w:t>
            </w:r>
          </w:p>
          <w:p w14:paraId="1E5020D3">
            <w:pPr>
              <w:tabs>
                <w:tab w:val="left" w:pos="567"/>
                <w:tab w:val="left" w:pos="851"/>
              </w:tabs>
              <w:snapToGrid w:val="0"/>
              <w:rPr>
                <w:rFonts w:hint="eastAsia" w:cs="宋体"/>
                <w:bCs/>
                <w:color w:val="000000"/>
                <w:szCs w:val="21"/>
                <w:lang w:val="en-US" w:eastAsia="zh-CN"/>
              </w:rPr>
            </w:pPr>
          </w:p>
          <w:p w14:paraId="46B21902">
            <w:pPr>
              <w:tabs>
                <w:tab w:val="left" w:pos="567"/>
                <w:tab w:val="left" w:pos="851"/>
              </w:tabs>
              <w:snapToGrid w:val="0"/>
              <w:rPr>
                <w:rFonts w:hint="eastAsia" w:cs="宋体"/>
                <w:bCs/>
                <w:color w:val="000000"/>
                <w:szCs w:val="21"/>
              </w:rPr>
            </w:pPr>
            <w:r>
              <w:rPr>
                <w:rFonts w:hint="eastAsia" w:cs="宋体"/>
                <w:bCs/>
                <w:color w:val="000000"/>
                <w:szCs w:val="21"/>
                <w:lang w:val="en-US" w:eastAsia="zh-CN"/>
              </w:rPr>
              <w:t>2、</w:t>
            </w:r>
            <w:r>
              <w:rPr>
                <w:rFonts w:hint="eastAsia" w:cs="宋体"/>
                <w:bCs/>
                <w:color w:val="000000"/>
                <w:szCs w:val="21"/>
              </w:rPr>
              <w:t xml:space="preserve">评审标准： </w:t>
            </w:r>
          </w:p>
          <w:p w14:paraId="3128A690">
            <w:pPr>
              <w:tabs>
                <w:tab w:val="left" w:pos="567"/>
                <w:tab w:val="left" w:pos="851"/>
              </w:tabs>
              <w:snapToGrid w:val="0"/>
              <w:rPr>
                <w:rFonts w:hint="eastAsia" w:cs="宋体"/>
                <w:bCs/>
                <w:color w:val="000000"/>
                <w:szCs w:val="21"/>
              </w:rPr>
            </w:pPr>
            <w:r>
              <w:rPr>
                <w:rFonts w:hint="eastAsia" w:cs="宋体"/>
                <w:bCs/>
                <w:color w:val="000000"/>
                <w:szCs w:val="21"/>
              </w:rPr>
              <w:t>①科学性：切合采购人单位</w:t>
            </w:r>
            <w:r>
              <w:rPr>
                <w:rFonts w:hint="eastAsia" w:cs="宋体"/>
                <w:bCs/>
                <w:color w:val="000000"/>
                <w:szCs w:val="21"/>
                <w:lang w:val="en-US" w:eastAsia="zh-CN"/>
              </w:rPr>
              <w:t>性质</w:t>
            </w:r>
            <w:r>
              <w:rPr>
                <w:rFonts w:hint="eastAsia" w:cs="宋体"/>
                <w:bCs/>
                <w:color w:val="000000"/>
                <w:szCs w:val="21"/>
              </w:rPr>
              <w:t xml:space="preserve">及本项目实际情况，叙述清楚、符合客观实际。 </w:t>
            </w:r>
          </w:p>
          <w:p w14:paraId="7469B3F9">
            <w:pPr>
              <w:tabs>
                <w:tab w:val="left" w:pos="567"/>
                <w:tab w:val="left" w:pos="851"/>
              </w:tabs>
              <w:snapToGrid w:val="0"/>
              <w:rPr>
                <w:rFonts w:hint="eastAsia" w:cs="宋体"/>
                <w:bCs/>
                <w:color w:val="000000"/>
                <w:szCs w:val="21"/>
              </w:rPr>
            </w:pPr>
            <w:r>
              <w:rPr>
                <w:rFonts w:hint="eastAsia" w:cs="宋体"/>
                <w:bCs/>
                <w:color w:val="000000"/>
                <w:szCs w:val="21"/>
                <w:lang w:val="en-US" w:eastAsia="zh-CN"/>
              </w:rPr>
              <w:t>②</w:t>
            </w:r>
            <w:r>
              <w:rPr>
                <w:rFonts w:hint="eastAsia" w:cs="宋体"/>
                <w:bCs/>
                <w:color w:val="000000"/>
                <w:szCs w:val="21"/>
              </w:rPr>
              <w:t xml:space="preserve">合理性：符合项目具体情况，提出的制度方针标准客观、严谨，实施措施方案合理、恰当。 </w:t>
            </w:r>
          </w:p>
          <w:p w14:paraId="6E9532B8">
            <w:pPr>
              <w:tabs>
                <w:tab w:val="left" w:pos="567"/>
                <w:tab w:val="left" w:pos="851"/>
              </w:tabs>
              <w:snapToGrid w:val="0"/>
              <w:rPr>
                <w:rFonts w:hint="default" w:cs="宋体"/>
                <w:bCs/>
                <w:color w:val="000000"/>
                <w:szCs w:val="21"/>
                <w:lang w:val="en-US" w:eastAsia="zh-CN"/>
              </w:rPr>
            </w:pPr>
            <w:r>
              <w:rPr>
                <w:rFonts w:hint="eastAsia" w:cs="宋体"/>
                <w:bCs/>
                <w:color w:val="000000"/>
                <w:szCs w:val="21"/>
                <w:lang w:val="en-US" w:eastAsia="zh-CN"/>
              </w:rPr>
              <w:t>3、评分细则：</w:t>
            </w:r>
          </w:p>
          <w:p w14:paraId="537F5841">
            <w:pPr>
              <w:widowControl/>
              <w:jc w:val="left"/>
              <w:rPr>
                <w:rFonts w:hint="eastAsia" w:ascii="宋体" w:hAnsi="宋体" w:cs="宋体"/>
                <w:sz w:val="18"/>
                <w:szCs w:val="18"/>
              </w:rPr>
            </w:pPr>
            <w:r>
              <w:rPr>
                <w:rFonts w:hint="eastAsia" w:cs="宋体"/>
                <w:bCs/>
                <w:color w:val="000000"/>
                <w:szCs w:val="21"/>
                <w:lang w:val="en-US" w:eastAsia="zh-CN"/>
              </w:rPr>
              <w:t>评标委员会</w:t>
            </w:r>
            <w:r>
              <w:rPr>
                <w:rFonts w:hint="eastAsia" w:cs="宋体"/>
                <w:bCs/>
                <w:color w:val="000000"/>
                <w:szCs w:val="21"/>
              </w:rPr>
              <w:t>对</w:t>
            </w:r>
            <w:r>
              <w:rPr>
                <w:rFonts w:hint="eastAsia" w:cs="宋体"/>
                <w:bCs/>
                <w:color w:val="000000"/>
                <w:szCs w:val="21"/>
                <w:lang w:val="en-US" w:eastAsia="zh-CN"/>
              </w:rPr>
              <w:t>以上10</w:t>
            </w:r>
            <w:r>
              <w:rPr>
                <w:rFonts w:hint="eastAsia" w:cs="宋体"/>
                <w:bCs/>
                <w:color w:val="000000"/>
                <w:szCs w:val="21"/>
              </w:rPr>
              <w:t>项评审内容进行</w:t>
            </w:r>
            <w:r>
              <w:rPr>
                <w:rFonts w:hint="eastAsia" w:cs="宋体"/>
                <w:bCs/>
                <w:color w:val="000000"/>
                <w:szCs w:val="21"/>
                <w:lang w:val="en-US" w:eastAsia="zh-CN"/>
              </w:rPr>
              <w:t>评分</w:t>
            </w:r>
            <w:r>
              <w:rPr>
                <w:rFonts w:hint="eastAsia" w:cs="宋体"/>
                <w:bCs/>
                <w:color w:val="000000"/>
                <w:szCs w:val="21"/>
              </w:rPr>
              <w:t>，每项评审内容</w:t>
            </w:r>
            <w:r>
              <w:rPr>
                <w:rFonts w:hint="eastAsia" w:cs="宋体"/>
                <w:bCs/>
                <w:color w:val="000000"/>
                <w:szCs w:val="21"/>
                <w:lang w:val="en-US" w:eastAsia="zh-CN"/>
              </w:rPr>
              <w:t>响应</w:t>
            </w:r>
            <w:r>
              <w:rPr>
                <w:rFonts w:hint="eastAsia" w:cs="宋体"/>
                <w:bCs/>
                <w:color w:val="000000"/>
                <w:szCs w:val="21"/>
              </w:rPr>
              <w:t>完全满足评审标准的得</w:t>
            </w:r>
            <w:r>
              <w:rPr>
                <w:rFonts w:hint="eastAsia" w:cs="宋体"/>
                <w:bCs/>
                <w:color w:val="000000"/>
                <w:szCs w:val="21"/>
                <w:lang w:val="en-US" w:eastAsia="zh-CN"/>
              </w:rPr>
              <w:t>1</w:t>
            </w:r>
            <w:r>
              <w:rPr>
                <w:rFonts w:hint="eastAsia" w:cs="宋体"/>
                <w:bCs/>
                <w:color w:val="000000"/>
                <w:szCs w:val="21"/>
              </w:rPr>
              <w:t>分，最高得</w:t>
            </w:r>
            <w:r>
              <w:rPr>
                <w:rFonts w:hint="eastAsia" w:cs="宋体"/>
                <w:bCs/>
                <w:color w:val="000000"/>
                <w:szCs w:val="21"/>
                <w:lang w:val="en-US" w:eastAsia="zh-CN"/>
              </w:rPr>
              <w:t>10</w:t>
            </w:r>
            <w:r>
              <w:rPr>
                <w:rFonts w:hint="eastAsia" w:cs="宋体"/>
                <w:bCs/>
                <w:color w:val="000000"/>
                <w:szCs w:val="21"/>
              </w:rPr>
              <w:t>分。</w:t>
            </w:r>
          </w:p>
        </w:tc>
      </w:tr>
      <w:tr w14:paraId="56BA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1" w:type="dxa"/>
            <w:shd w:val="clear" w:color="auto" w:fill="auto"/>
            <w:noWrap w:val="0"/>
            <w:vAlign w:val="top"/>
          </w:tcPr>
          <w:p w14:paraId="12D87547">
            <w:pPr>
              <w:jc w:val="center"/>
              <w:rPr>
                <w:rFonts w:hint="eastAsia" w:ascii="宋体" w:hAnsi="宋体" w:cs="宋体"/>
                <w:sz w:val="18"/>
                <w:szCs w:val="18"/>
              </w:rPr>
            </w:pPr>
            <w:r>
              <w:rPr>
                <w:rFonts w:hint="eastAsia" w:ascii="宋体" w:hAnsi="宋体" w:cs="宋体"/>
                <w:sz w:val="18"/>
                <w:szCs w:val="18"/>
              </w:rPr>
              <w:t>总分</w:t>
            </w:r>
          </w:p>
        </w:tc>
        <w:tc>
          <w:tcPr>
            <w:tcW w:w="7620" w:type="dxa"/>
            <w:shd w:val="clear" w:color="auto" w:fill="auto"/>
            <w:noWrap w:val="0"/>
            <w:vAlign w:val="top"/>
          </w:tcPr>
          <w:p w14:paraId="55989216">
            <w:pPr>
              <w:jc w:val="center"/>
              <w:rPr>
                <w:rFonts w:hint="eastAsia" w:ascii="宋体" w:hAnsi="宋体" w:cs="宋体"/>
                <w:kern w:val="0"/>
                <w:sz w:val="18"/>
                <w:szCs w:val="18"/>
              </w:rPr>
            </w:pPr>
            <w:r>
              <w:rPr>
                <w:rFonts w:hint="eastAsia" w:ascii="宋体" w:hAnsi="宋体" w:cs="宋体"/>
                <w:kern w:val="0"/>
                <w:sz w:val="18"/>
                <w:szCs w:val="18"/>
              </w:rPr>
              <w:t>100分</w:t>
            </w:r>
          </w:p>
        </w:tc>
      </w:tr>
    </w:tbl>
    <w:p w14:paraId="34B6352A">
      <w:pPr>
        <w:pStyle w:val="7"/>
        <w:rPr>
          <w:rFonts w:hAnsi="宋体"/>
          <w:sz w:val="24"/>
          <w:szCs w:val="24"/>
        </w:rPr>
      </w:pPr>
    </w:p>
    <w:p w14:paraId="73511FC1">
      <w:pPr>
        <w:pStyle w:val="12"/>
        <w:rPr>
          <w:rFonts w:hint="eastAsia" w:ascii="宋体" w:hAnsi="宋体" w:cs="宋体"/>
        </w:rPr>
      </w:pPr>
    </w:p>
    <w:p w14:paraId="29FC5326">
      <w:pPr>
        <w:pStyle w:val="12"/>
        <w:rPr>
          <w:rFonts w:ascii="宋体" w:hAnsi="宋体" w:cs="宋体"/>
        </w:rPr>
      </w:pPr>
      <w:r>
        <w:rPr>
          <w:rFonts w:hint="eastAsia" w:ascii="宋体" w:hAnsi="宋体" w:cs="宋体"/>
        </w:rPr>
        <w:t>第四章  采购项目内容及要求</w:t>
      </w:r>
      <w:bookmarkEnd w:id="32"/>
      <w:bookmarkEnd w:id="33"/>
      <w:bookmarkEnd w:id="34"/>
      <w:bookmarkEnd w:id="35"/>
      <w:bookmarkEnd w:id="36"/>
    </w:p>
    <w:p w14:paraId="7FF40E07">
      <w:pPr>
        <w:spacing w:line="420" w:lineRule="exact"/>
        <w:ind w:firstLine="480" w:firstLineChars="200"/>
        <w:rPr>
          <w:rFonts w:hint="eastAsia" w:ascii="宋体" w:hAnsi="宋体" w:cs="宋体"/>
          <w:sz w:val="24"/>
        </w:rPr>
      </w:pPr>
      <w:r>
        <w:rPr>
          <w:rFonts w:hint="eastAsia" w:ascii="宋体" w:hAnsi="宋体" w:cs="宋体"/>
          <w:sz w:val="24"/>
        </w:rPr>
        <w:t>一、项目内容：</w:t>
      </w:r>
    </w:p>
    <w:p w14:paraId="7CBC0D52">
      <w:pPr>
        <w:spacing w:line="420" w:lineRule="exact"/>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项目名称：黄石市中心医院2号楼9楼胸心外科弱电改造项目</w:t>
      </w:r>
    </w:p>
    <w:p w14:paraId="0103F2A9">
      <w:pPr>
        <w:spacing w:line="420" w:lineRule="exact"/>
        <w:ind w:firstLine="480" w:firstLineChars="200"/>
        <w:rPr>
          <w:rFonts w:ascii="宋体" w:hAnsi="宋体" w:cs="宋体"/>
          <w:sz w:val="24"/>
        </w:rPr>
      </w:pPr>
      <w:r>
        <w:rPr>
          <w:rFonts w:hint="eastAsia" w:ascii="宋体" w:hAnsi="宋体" w:cs="宋体"/>
          <w:sz w:val="24"/>
        </w:rPr>
        <w:t>2、采购内容：2号楼9楼胸心外科弱电改造</w:t>
      </w:r>
    </w:p>
    <w:p w14:paraId="5D93A21C">
      <w:pPr>
        <w:spacing w:line="420" w:lineRule="exact"/>
        <w:ind w:firstLine="480" w:firstLineChars="200"/>
        <w:rPr>
          <w:rFonts w:ascii="宋体" w:hAnsi="宋体" w:cs="宋体"/>
          <w:sz w:val="24"/>
        </w:rPr>
      </w:pPr>
      <w:r>
        <w:rPr>
          <w:rFonts w:hint="eastAsia" w:ascii="宋体" w:hAnsi="宋体" w:cs="宋体"/>
          <w:sz w:val="24"/>
        </w:rPr>
        <w:t>3.采购方式：竞争性磋商</w:t>
      </w:r>
    </w:p>
    <w:p w14:paraId="3B9C4F4B">
      <w:pPr>
        <w:spacing w:line="420" w:lineRule="exact"/>
        <w:ind w:firstLine="480" w:firstLineChars="200"/>
        <w:rPr>
          <w:rFonts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预算金额：</w:t>
      </w:r>
      <w:r>
        <w:rPr>
          <w:rFonts w:hint="eastAsia" w:ascii="宋体" w:hAnsi="宋体" w:cs="宋体"/>
          <w:color w:val="000000"/>
          <w:kern w:val="0"/>
          <w:sz w:val="22"/>
          <w:szCs w:val="22"/>
          <w:lang w:val="en-US" w:eastAsia="zh-CN" w:bidi="ar"/>
        </w:rPr>
        <w:t>5</w:t>
      </w:r>
      <w:r>
        <w:rPr>
          <w:rFonts w:hint="eastAsia" w:ascii="宋体" w:hAnsi="宋体" w:cs="宋体"/>
          <w:sz w:val="24"/>
        </w:rPr>
        <w:t>万元</w:t>
      </w:r>
    </w:p>
    <w:p w14:paraId="3BC19B62">
      <w:pPr>
        <w:spacing w:line="360" w:lineRule="auto"/>
        <w:ind w:firstLine="480" w:firstLineChars="200"/>
        <w:rPr>
          <w:rFonts w:ascii="宋体" w:hAnsi="宋体" w:cs="仿宋_GB2312"/>
          <w:sz w:val="24"/>
        </w:rPr>
      </w:pPr>
      <w:r>
        <w:rPr>
          <w:rFonts w:hint="eastAsia" w:ascii="宋体" w:hAnsi="宋体" w:cs="仿宋_GB2312"/>
          <w:sz w:val="24"/>
          <w:lang w:val="en-US" w:eastAsia="zh-CN"/>
        </w:rPr>
        <w:t>5、</w:t>
      </w:r>
      <w:r>
        <w:rPr>
          <w:rFonts w:hint="eastAsia" w:ascii="宋体" w:hAnsi="宋体" w:cs="仿宋_GB2312"/>
          <w:sz w:val="24"/>
        </w:rPr>
        <w:t>合同履行期限：</w:t>
      </w:r>
      <w:r>
        <w:rPr>
          <w:rFonts w:hint="eastAsia" w:ascii="宋体" w:hAnsi="宋体" w:cs="仿宋_GB2312"/>
          <w:sz w:val="24"/>
          <w:lang w:val="en-US" w:eastAsia="zh-CN"/>
        </w:rPr>
        <w:t>15日历天</w:t>
      </w:r>
      <w:r>
        <w:rPr>
          <w:rFonts w:hint="eastAsia" w:ascii="宋体" w:hAnsi="宋体" w:cs="仿宋_GB2312"/>
          <w:sz w:val="24"/>
        </w:rPr>
        <w:t>。</w:t>
      </w:r>
    </w:p>
    <w:p w14:paraId="753A65B0">
      <w:pPr>
        <w:spacing w:line="360" w:lineRule="auto"/>
        <w:ind w:firstLine="480" w:firstLineChars="200"/>
        <w:rPr>
          <w:rFonts w:ascii="宋体" w:hAnsi="宋体" w:cs="仿宋_GB2312"/>
          <w:sz w:val="24"/>
        </w:rPr>
      </w:pPr>
      <w:r>
        <w:rPr>
          <w:rFonts w:hint="eastAsia" w:ascii="宋体" w:hAnsi="宋体" w:cs="仿宋_GB2312"/>
          <w:sz w:val="24"/>
          <w:lang w:val="en-US" w:eastAsia="zh-CN"/>
        </w:rPr>
        <w:t>6</w:t>
      </w:r>
      <w:r>
        <w:rPr>
          <w:rFonts w:ascii="宋体" w:hAnsi="宋体" w:cs="仿宋_GB2312"/>
          <w:sz w:val="24"/>
        </w:rPr>
        <w:t>.</w:t>
      </w:r>
      <w:r>
        <w:rPr>
          <w:rFonts w:hint="eastAsia" w:ascii="宋体" w:hAnsi="宋体" w:cs="仿宋_GB2312"/>
          <w:sz w:val="24"/>
        </w:rPr>
        <w:t>本项目（是/否）接受联合体投标：</w:t>
      </w:r>
      <w:r>
        <w:rPr>
          <w:rFonts w:hint="eastAsia" w:ascii="宋体" w:hAnsi="宋体" w:cs="仿宋_GB2312"/>
          <w:kern w:val="2"/>
          <w:sz w:val="24"/>
          <w:szCs w:val="24"/>
        </w:rPr>
        <w:t>否</w:t>
      </w:r>
    </w:p>
    <w:p w14:paraId="12524585">
      <w:pPr>
        <w:pStyle w:val="7"/>
        <w:rPr>
          <w:rFonts w:hAnsi="宋体"/>
          <w:sz w:val="24"/>
          <w:szCs w:val="24"/>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p>
    <w:p w14:paraId="5714EC2C">
      <w:pPr>
        <w:pStyle w:val="17"/>
        <w:numPr>
          <w:ilvl w:val="0"/>
          <w:numId w:val="1"/>
        </w:numPr>
        <w:spacing w:line="360" w:lineRule="auto"/>
        <w:ind w:firstLineChars="0"/>
        <w:rPr>
          <w:b/>
          <w:sz w:val="24"/>
        </w:rPr>
      </w:pPr>
      <w:r>
        <w:rPr>
          <w:rFonts w:hint="eastAsia" w:ascii="宋体" w:hAnsi="宋体" w:cs="宋体"/>
          <w:b/>
          <w:bCs/>
          <w:sz w:val="24"/>
        </w:rPr>
        <w:t>技术规格及要求：</w:t>
      </w:r>
    </w:p>
    <w:tbl>
      <w:tblPr>
        <w:tblStyle w:val="13"/>
        <w:tblpPr w:leftFromText="180" w:rightFromText="180" w:vertAnchor="text" w:horzAnchor="page" w:tblpXSpec="center" w:tblpY="104"/>
        <w:tblOverlap w:val="never"/>
        <w:tblW w:w="8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53"/>
        <w:gridCol w:w="4843"/>
        <w:gridCol w:w="855"/>
        <w:gridCol w:w="915"/>
      </w:tblGrid>
      <w:tr w14:paraId="0C6D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1C70BCDC">
            <w:pPr>
              <w:bidi w:val="0"/>
              <w:jc w:val="center"/>
              <w:rPr>
                <w:rFonts w:hint="eastAsia" w:ascii="宋体" w:hAnsi="宋体" w:eastAsia="宋体" w:cs="宋体"/>
                <w:sz w:val="18"/>
                <w:szCs w:val="18"/>
              </w:rPr>
            </w:pPr>
            <w:r>
              <w:rPr>
                <w:rFonts w:hint="eastAsia" w:ascii="宋体" w:hAnsi="宋体" w:eastAsia="宋体" w:cs="宋体"/>
                <w:sz w:val="18"/>
                <w:szCs w:val="18"/>
              </w:rPr>
              <w:t>序号</w:t>
            </w:r>
          </w:p>
        </w:tc>
        <w:tc>
          <w:tcPr>
            <w:tcW w:w="953" w:type="dxa"/>
            <w:shd w:val="clear" w:color="auto" w:fill="auto"/>
            <w:noWrap w:val="0"/>
            <w:vAlign w:val="center"/>
          </w:tcPr>
          <w:p w14:paraId="72B646B1">
            <w:pPr>
              <w:bidi w:val="0"/>
              <w:jc w:val="center"/>
              <w:rPr>
                <w:rFonts w:hint="eastAsia" w:ascii="宋体" w:hAnsi="宋体" w:eastAsia="宋体" w:cs="宋体"/>
                <w:sz w:val="18"/>
                <w:szCs w:val="18"/>
              </w:rPr>
            </w:pPr>
            <w:r>
              <w:rPr>
                <w:rFonts w:hint="eastAsia" w:ascii="宋体" w:hAnsi="宋体" w:eastAsia="宋体" w:cs="宋体"/>
                <w:sz w:val="18"/>
                <w:szCs w:val="18"/>
              </w:rPr>
              <w:t>设备</w:t>
            </w:r>
          </w:p>
        </w:tc>
        <w:tc>
          <w:tcPr>
            <w:tcW w:w="4843" w:type="dxa"/>
            <w:shd w:val="clear" w:color="auto" w:fill="auto"/>
            <w:noWrap w:val="0"/>
            <w:vAlign w:val="center"/>
          </w:tcPr>
          <w:p w14:paraId="63F086F2">
            <w:pPr>
              <w:bidi w:val="0"/>
              <w:jc w:val="center"/>
              <w:rPr>
                <w:rFonts w:hint="eastAsia" w:ascii="宋体" w:hAnsi="宋体" w:eastAsia="宋体" w:cs="宋体"/>
                <w:sz w:val="18"/>
                <w:szCs w:val="18"/>
              </w:rPr>
            </w:pPr>
            <w:r>
              <w:rPr>
                <w:rFonts w:hint="eastAsia" w:ascii="宋体" w:hAnsi="宋体" w:eastAsia="宋体" w:cs="宋体"/>
                <w:sz w:val="18"/>
                <w:szCs w:val="18"/>
              </w:rPr>
              <w:t>参数</w:t>
            </w:r>
          </w:p>
        </w:tc>
        <w:tc>
          <w:tcPr>
            <w:tcW w:w="855" w:type="dxa"/>
            <w:shd w:val="clear" w:color="auto" w:fill="auto"/>
            <w:noWrap w:val="0"/>
            <w:vAlign w:val="center"/>
          </w:tcPr>
          <w:p w14:paraId="664FBCD9">
            <w:pPr>
              <w:bidi w:val="0"/>
              <w:jc w:val="center"/>
              <w:rPr>
                <w:rFonts w:hint="eastAsia" w:ascii="宋体" w:hAnsi="宋体" w:eastAsia="宋体" w:cs="宋体"/>
                <w:sz w:val="18"/>
                <w:szCs w:val="18"/>
              </w:rPr>
            </w:pPr>
            <w:r>
              <w:rPr>
                <w:rFonts w:hint="eastAsia" w:ascii="宋体" w:hAnsi="宋体" w:eastAsia="宋体" w:cs="宋体"/>
                <w:sz w:val="18"/>
                <w:szCs w:val="18"/>
              </w:rPr>
              <w:t>数量</w:t>
            </w:r>
          </w:p>
        </w:tc>
        <w:tc>
          <w:tcPr>
            <w:tcW w:w="915" w:type="dxa"/>
            <w:shd w:val="clear" w:color="auto" w:fill="auto"/>
            <w:noWrap w:val="0"/>
            <w:vAlign w:val="center"/>
          </w:tcPr>
          <w:p w14:paraId="1B28597E">
            <w:pPr>
              <w:bidi w:val="0"/>
              <w:jc w:val="center"/>
              <w:rPr>
                <w:rFonts w:hint="eastAsia" w:ascii="宋体" w:hAnsi="宋体" w:eastAsia="宋体" w:cs="宋体"/>
                <w:sz w:val="18"/>
                <w:szCs w:val="18"/>
              </w:rPr>
            </w:pPr>
            <w:r>
              <w:rPr>
                <w:rFonts w:hint="eastAsia" w:ascii="宋体" w:hAnsi="宋体" w:eastAsia="宋体" w:cs="宋体"/>
                <w:sz w:val="18"/>
                <w:szCs w:val="18"/>
              </w:rPr>
              <w:t>单位</w:t>
            </w:r>
          </w:p>
        </w:tc>
      </w:tr>
      <w:tr w14:paraId="00D3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62" w:type="dxa"/>
            <w:gridSpan w:val="5"/>
            <w:shd w:val="clear" w:color="auto" w:fill="auto"/>
            <w:noWrap w:val="0"/>
            <w:vAlign w:val="center"/>
          </w:tcPr>
          <w:p w14:paraId="68735C1C">
            <w:pPr>
              <w:bidi w:val="0"/>
              <w:rPr>
                <w:rFonts w:hint="eastAsia" w:ascii="宋体" w:hAnsi="宋体" w:eastAsia="宋体" w:cs="宋体"/>
                <w:sz w:val="18"/>
                <w:szCs w:val="18"/>
              </w:rPr>
            </w:pPr>
            <w:r>
              <w:rPr>
                <w:rFonts w:hint="eastAsia" w:ascii="宋体" w:hAnsi="宋体" w:eastAsia="宋体" w:cs="宋体"/>
                <w:sz w:val="18"/>
                <w:szCs w:val="18"/>
              </w:rPr>
              <w:t>一、2号楼9楼泌尿外科</w:t>
            </w:r>
          </w:p>
        </w:tc>
      </w:tr>
      <w:tr w14:paraId="3CD2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1F62B482">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53" w:type="dxa"/>
            <w:shd w:val="clear" w:color="auto" w:fill="auto"/>
            <w:noWrap w:val="0"/>
            <w:vAlign w:val="center"/>
          </w:tcPr>
          <w:p w14:paraId="77751B78">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网线</w:t>
            </w:r>
          </w:p>
        </w:tc>
        <w:tc>
          <w:tcPr>
            <w:tcW w:w="4843" w:type="dxa"/>
            <w:shd w:val="clear" w:color="auto" w:fill="auto"/>
            <w:noWrap w:val="0"/>
            <w:vAlign w:val="center"/>
          </w:tcPr>
          <w:p w14:paraId="757D2E36">
            <w:pPr>
              <w:bidi w:val="0"/>
              <w:rPr>
                <w:rFonts w:hint="eastAsia" w:ascii="宋体" w:hAnsi="宋体" w:eastAsia="宋体" w:cs="宋体"/>
                <w:sz w:val="18"/>
                <w:szCs w:val="18"/>
              </w:rPr>
            </w:pPr>
            <w:r>
              <w:rPr>
                <w:rFonts w:hint="eastAsia" w:ascii="宋体" w:hAnsi="宋体" w:eastAsia="宋体" w:cs="宋体"/>
                <w:sz w:val="18"/>
                <w:szCs w:val="18"/>
                <w:lang w:val="en-US" w:eastAsia="zh-CN"/>
              </w:rPr>
              <w:t>6类非屏蔽低烟无卤网线</w:t>
            </w:r>
          </w:p>
        </w:tc>
        <w:tc>
          <w:tcPr>
            <w:tcW w:w="855" w:type="dxa"/>
            <w:shd w:val="clear" w:color="auto" w:fill="auto"/>
            <w:noWrap w:val="0"/>
            <w:vAlign w:val="center"/>
          </w:tcPr>
          <w:p w14:paraId="42CBBB0F">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15" w:type="dxa"/>
            <w:shd w:val="clear" w:color="auto" w:fill="auto"/>
            <w:noWrap w:val="0"/>
            <w:vAlign w:val="center"/>
          </w:tcPr>
          <w:p w14:paraId="6B49E536">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箱</w:t>
            </w:r>
          </w:p>
        </w:tc>
      </w:tr>
      <w:tr w14:paraId="1D2A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3143EFAC">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53" w:type="dxa"/>
            <w:shd w:val="clear" w:color="auto" w:fill="auto"/>
            <w:noWrap w:val="0"/>
            <w:vAlign w:val="center"/>
          </w:tcPr>
          <w:p w14:paraId="0D11DF6F">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同轴线缆</w:t>
            </w:r>
          </w:p>
        </w:tc>
        <w:tc>
          <w:tcPr>
            <w:tcW w:w="4843" w:type="dxa"/>
            <w:shd w:val="clear" w:color="auto" w:fill="auto"/>
            <w:noWrap w:val="0"/>
            <w:vAlign w:val="center"/>
          </w:tcPr>
          <w:p w14:paraId="246F7CB6">
            <w:pPr>
              <w:bidi w:val="0"/>
              <w:rPr>
                <w:rFonts w:hint="eastAsia" w:ascii="宋体" w:hAnsi="宋体" w:eastAsia="宋体" w:cs="宋体"/>
                <w:sz w:val="18"/>
                <w:szCs w:val="18"/>
              </w:rPr>
            </w:pPr>
            <w:r>
              <w:rPr>
                <w:rFonts w:hint="eastAsia" w:ascii="宋体" w:hAnsi="宋体" w:eastAsia="宋体" w:cs="宋体"/>
                <w:sz w:val="18"/>
                <w:szCs w:val="18"/>
                <w:lang w:val="en-US" w:eastAsia="zh-CN"/>
              </w:rPr>
              <w:t>SYV75-5</w:t>
            </w:r>
          </w:p>
        </w:tc>
        <w:tc>
          <w:tcPr>
            <w:tcW w:w="855" w:type="dxa"/>
            <w:shd w:val="clear" w:color="auto" w:fill="auto"/>
            <w:noWrap w:val="0"/>
            <w:vAlign w:val="center"/>
          </w:tcPr>
          <w:p w14:paraId="67892FA1">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2000</w:t>
            </w:r>
          </w:p>
        </w:tc>
        <w:tc>
          <w:tcPr>
            <w:tcW w:w="915" w:type="dxa"/>
            <w:shd w:val="clear" w:color="auto" w:fill="auto"/>
            <w:noWrap w:val="0"/>
            <w:vAlign w:val="center"/>
          </w:tcPr>
          <w:p w14:paraId="40B3DFC3">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米</w:t>
            </w:r>
          </w:p>
        </w:tc>
      </w:tr>
      <w:tr w14:paraId="5749C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776AA343">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3</w:t>
            </w:r>
          </w:p>
        </w:tc>
        <w:tc>
          <w:tcPr>
            <w:tcW w:w="953" w:type="dxa"/>
            <w:shd w:val="clear" w:color="auto" w:fill="auto"/>
            <w:noWrap w:val="0"/>
            <w:vAlign w:val="center"/>
          </w:tcPr>
          <w:p w14:paraId="056B243C">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无线信号放大器</w:t>
            </w:r>
          </w:p>
        </w:tc>
        <w:tc>
          <w:tcPr>
            <w:tcW w:w="4843" w:type="dxa"/>
            <w:shd w:val="clear" w:color="auto" w:fill="auto"/>
            <w:noWrap w:val="0"/>
            <w:vAlign w:val="center"/>
          </w:tcPr>
          <w:p w14:paraId="595A8F78">
            <w:pPr>
              <w:bidi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无线AP定向信号放大器</w:t>
            </w:r>
          </w:p>
        </w:tc>
        <w:tc>
          <w:tcPr>
            <w:tcW w:w="855" w:type="dxa"/>
            <w:shd w:val="clear" w:color="auto" w:fill="auto"/>
            <w:noWrap w:val="0"/>
            <w:vAlign w:val="center"/>
          </w:tcPr>
          <w:p w14:paraId="345A85A9">
            <w:pPr>
              <w:bidi w:val="0"/>
              <w:jc w:val="center"/>
              <w:rPr>
                <w:rFonts w:hint="default" w:ascii="宋体" w:hAnsi="宋体" w:eastAsia="宋体" w:cs="宋体"/>
                <w:sz w:val="18"/>
                <w:szCs w:val="18"/>
                <w:lang w:val="en-US"/>
              </w:rPr>
            </w:pPr>
            <w:r>
              <w:rPr>
                <w:rFonts w:hint="eastAsia" w:ascii="宋体" w:hAnsi="宋体" w:eastAsia="宋体" w:cs="宋体"/>
                <w:sz w:val="18"/>
                <w:szCs w:val="18"/>
                <w:lang w:val="en-US" w:eastAsia="zh-CN"/>
              </w:rPr>
              <w:t>24</w:t>
            </w:r>
          </w:p>
        </w:tc>
        <w:tc>
          <w:tcPr>
            <w:tcW w:w="915" w:type="dxa"/>
            <w:shd w:val="clear" w:color="auto" w:fill="auto"/>
            <w:noWrap w:val="0"/>
            <w:vAlign w:val="center"/>
          </w:tcPr>
          <w:p w14:paraId="546D17AF">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r>
      <w:tr w14:paraId="5528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706D7320">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53" w:type="dxa"/>
            <w:shd w:val="clear" w:color="auto" w:fill="auto"/>
            <w:noWrap w:val="0"/>
            <w:vAlign w:val="center"/>
          </w:tcPr>
          <w:p w14:paraId="0A8C55DA">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无线AP</w:t>
            </w:r>
          </w:p>
        </w:tc>
        <w:tc>
          <w:tcPr>
            <w:tcW w:w="4843" w:type="dxa"/>
            <w:shd w:val="clear" w:color="auto" w:fill="auto"/>
            <w:noWrap w:val="0"/>
            <w:vAlign w:val="center"/>
          </w:tcPr>
          <w:p w14:paraId="315B5B55">
            <w:pPr>
              <w:bidi w:val="0"/>
              <w:rPr>
                <w:rFonts w:hint="eastAsia" w:ascii="宋体" w:hAnsi="宋体" w:eastAsia="宋体" w:cs="宋体"/>
                <w:sz w:val="18"/>
                <w:szCs w:val="18"/>
              </w:rPr>
            </w:pPr>
            <w:r>
              <w:rPr>
                <w:rFonts w:hint="eastAsia" w:ascii="宋体" w:hAnsi="宋体" w:eastAsia="宋体" w:cs="宋体"/>
                <w:sz w:val="18"/>
                <w:szCs w:val="18"/>
              </w:rPr>
              <w:t>网络标准</w:t>
            </w:r>
            <w:r>
              <w:rPr>
                <w:rFonts w:hint="eastAsia" w:ascii="宋体" w:hAnsi="宋体" w:eastAsia="宋体" w:cs="宋体"/>
                <w:sz w:val="18"/>
                <w:szCs w:val="18"/>
                <w:lang w:eastAsia="zh-CN"/>
              </w:rPr>
              <w:t>：</w:t>
            </w:r>
            <w:r>
              <w:rPr>
                <w:rFonts w:hint="eastAsia" w:ascii="宋体" w:hAnsi="宋体" w:eastAsia="宋体" w:cs="宋体"/>
                <w:sz w:val="18"/>
                <w:szCs w:val="18"/>
              </w:rPr>
              <w:t>IEEE 802.11a，IEEE 802.11b，IEEE 802.11g，IEEE 802.11n</w:t>
            </w:r>
            <w:r>
              <w:rPr>
                <w:rFonts w:hint="eastAsia" w:ascii="宋体" w:hAnsi="宋体" w:eastAsia="宋体" w:cs="宋体"/>
                <w:sz w:val="18"/>
                <w:szCs w:val="18"/>
                <w:lang w:eastAsia="zh-CN"/>
              </w:rPr>
              <w:t>、</w:t>
            </w:r>
            <w:r>
              <w:rPr>
                <w:rFonts w:hint="eastAsia" w:ascii="宋体" w:hAnsi="宋体" w:eastAsia="宋体" w:cs="宋体"/>
                <w:sz w:val="18"/>
                <w:szCs w:val="18"/>
              </w:rPr>
              <w:t>最高传输速率</w:t>
            </w:r>
            <w:r>
              <w:rPr>
                <w:rFonts w:hint="eastAsia" w:ascii="宋体" w:hAnsi="宋体" w:eastAsia="宋体" w:cs="宋体"/>
                <w:sz w:val="18"/>
                <w:szCs w:val="18"/>
                <w:lang w:eastAsia="zh-CN"/>
              </w:rPr>
              <w:t>：</w:t>
            </w:r>
            <w:r>
              <w:rPr>
                <w:rFonts w:hint="eastAsia" w:ascii="宋体" w:hAnsi="宋体" w:eastAsia="宋体" w:cs="宋体"/>
                <w:sz w:val="18"/>
                <w:szCs w:val="18"/>
              </w:rPr>
              <w:t>300Mbps</w:t>
            </w:r>
            <w:r>
              <w:rPr>
                <w:rFonts w:hint="eastAsia" w:ascii="宋体" w:hAnsi="宋体" w:eastAsia="宋体" w:cs="宋体"/>
                <w:sz w:val="18"/>
                <w:szCs w:val="18"/>
                <w:lang w:eastAsia="zh-CN"/>
              </w:rPr>
              <w:t>、</w:t>
            </w:r>
            <w:r>
              <w:rPr>
                <w:rFonts w:hint="eastAsia" w:ascii="宋体" w:hAnsi="宋体" w:eastAsia="宋体" w:cs="宋体"/>
                <w:sz w:val="18"/>
                <w:szCs w:val="18"/>
              </w:rPr>
              <w:t>频率范围</w:t>
            </w:r>
            <w:r>
              <w:rPr>
                <w:rFonts w:hint="eastAsia" w:ascii="宋体" w:hAnsi="宋体" w:eastAsia="宋体" w:cs="宋体"/>
                <w:sz w:val="18"/>
                <w:szCs w:val="18"/>
                <w:lang w:eastAsia="zh-CN"/>
              </w:rPr>
              <w:t>：</w:t>
            </w:r>
            <w:r>
              <w:rPr>
                <w:rFonts w:hint="eastAsia" w:ascii="宋体" w:hAnsi="宋体" w:eastAsia="宋体" w:cs="宋体"/>
                <w:sz w:val="18"/>
                <w:szCs w:val="18"/>
              </w:rPr>
              <w:t>双频（2.4GHz，5GHz）</w:t>
            </w:r>
            <w:r>
              <w:rPr>
                <w:rFonts w:hint="eastAsia" w:ascii="宋体" w:hAnsi="宋体" w:eastAsia="宋体" w:cs="宋体"/>
                <w:sz w:val="18"/>
                <w:szCs w:val="18"/>
                <w:lang w:eastAsia="zh-CN"/>
              </w:rPr>
              <w:t>、</w:t>
            </w:r>
            <w:r>
              <w:rPr>
                <w:rFonts w:hint="eastAsia" w:ascii="宋体" w:hAnsi="宋体" w:eastAsia="宋体" w:cs="宋体"/>
                <w:sz w:val="18"/>
                <w:szCs w:val="18"/>
              </w:rPr>
              <w:t>网络接口</w:t>
            </w:r>
            <w:r>
              <w:rPr>
                <w:rFonts w:hint="eastAsia" w:ascii="宋体" w:hAnsi="宋体" w:eastAsia="宋体" w:cs="宋体"/>
                <w:sz w:val="18"/>
                <w:szCs w:val="18"/>
                <w:lang w:eastAsia="zh-CN"/>
              </w:rPr>
              <w:t>：</w:t>
            </w:r>
            <w:r>
              <w:rPr>
                <w:rFonts w:hint="eastAsia" w:ascii="宋体" w:hAnsi="宋体" w:eastAsia="宋体" w:cs="宋体"/>
                <w:sz w:val="18"/>
                <w:szCs w:val="18"/>
              </w:rPr>
              <w:t>1个千兆以太网口1个千兆</w:t>
            </w:r>
            <w:r>
              <w:rPr>
                <w:rFonts w:hint="eastAsia" w:ascii="宋体" w:hAnsi="宋体" w:eastAsia="宋体" w:cs="宋体"/>
                <w:sz w:val="18"/>
                <w:szCs w:val="18"/>
                <w:lang w:eastAsia="zh-CN"/>
              </w:rPr>
              <w:t>：</w:t>
            </w:r>
            <w:r>
              <w:rPr>
                <w:rFonts w:hint="eastAsia" w:ascii="宋体" w:hAnsi="宋体" w:eastAsia="宋体" w:cs="宋体"/>
                <w:sz w:val="18"/>
                <w:szCs w:val="18"/>
              </w:rPr>
              <w:t>SFP光接口</w:t>
            </w:r>
            <w:r>
              <w:rPr>
                <w:rFonts w:hint="eastAsia" w:ascii="宋体" w:hAnsi="宋体" w:eastAsia="宋体" w:cs="宋体"/>
                <w:sz w:val="18"/>
                <w:szCs w:val="18"/>
                <w:lang w:eastAsia="zh-CN"/>
              </w:rPr>
              <w:t>、</w:t>
            </w:r>
            <w:r>
              <w:rPr>
                <w:rFonts w:hint="eastAsia" w:ascii="宋体" w:hAnsi="宋体" w:eastAsia="宋体" w:cs="宋体"/>
                <w:sz w:val="18"/>
                <w:szCs w:val="18"/>
              </w:rPr>
              <w:t>其它接口</w:t>
            </w:r>
            <w:r>
              <w:rPr>
                <w:rFonts w:hint="eastAsia" w:ascii="宋体" w:hAnsi="宋体" w:eastAsia="宋体" w:cs="宋体"/>
                <w:sz w:val="18"/>
                <w:szCs w:val="18"/>
                <w:lang w:eastAsia="zh-CN"/>
              </w:rPr>
              <w:t>：</w:t>
            </w:r>
            <w:r>
              <w:rPr>
                <w:rFonts w:hint="eastAsia" w:ascii="宋体" w:hAnsi="宋体" w:eastAsia="宋体" w:cs="宋体"/>
                <w:sz w:val="18"/>
                <w:szCs w:val="18"/>
              </w:rPr>
              <w:t>1个Console口</w:t>
            </w:r>
            <w:r>
              <w:rPr>
                <w:rFonts w:hint="eastAsia" w:ascii="宋体" w:hAnsi="宋体" w:eastAsia="宋体" w:cs="宋体"/>
                <w:sz w:val="18"/>
                <w:szCs w:val="18"/>
                <w:lang w:eastAsia="zh-CN"/>
              </w:rPr>
              <w:t>、</w:t>
            </w:r>
            <w:r>
              <w:rPr>
                <w:rFonts w:hint="eastAsia" w:ascii="宋体" w:hAnsi="宋体" w:eastAsia="宋体" w:cs="宋体"/>
                <w:sz w:val="18"/>
                <w:szCs w:val="18"/>
              </w:rPr>
              <w:t>天线类型</w:t>
            </w:r>
            <w:r>
              <w:rPr>
                <w:rFonts w:hint="eastAsia" w:ascii="宋体" w:hAnsi="宋体" w:eastAsia="宋体" w:cs="宋体"/>
                <w:sz w:val="18"/>
                <w:szCs w:val="18"/>
                <w:lang w:eastAsia="zh-CN"/>
              </w:rPr>
              <w:t>：</w:t>
            </w:r>
            <w:r>
              <w:rPr>
                <w:rFonts w:hint="eastAsia" w:ascii="宋体" w:hAnsi="宋体" w:eastAsia="宋体" w:cs="宋体"/>
                <w:sz w:val="18"/>
                <w:szCs w:val="18"/>
              </w:rPr>
              <w:t>外置天线</w:t>
            </w:r>
            <w:r>
              <w:rPr>
                <w:rFonts w:hint="eastAsia" w:ascii="宋体" w:hAnsi="宋体" w:eastAsia="宋体" w:cs="宋体"/>
                <w:sz w:val="18"/>
                <w:szCs w:val="18"/>
                <w:lang w:eastAsia="zh-CN"/>
              </w:rPr>
              <w:t>、</w:t>
            </w:r>
            <w:r>
              <w:rPr>
                <w:rFonts w:hint="eastAsia" w:ascii="宋体" w:hAnsi="宋体" w:eastAsia="宋体" w:cs="宋体"/>
                <w:sz w:val="18"/>
                <w:szCs w:val="18"/>
              </w:rPr>
              <w:t>天线数量</w:t>
            </w:r>
            <w:r>
              <w:rPr>
                <w:rFonts w:hint="eastAsia" w:ascii="宋体" w:hAnsi="宋体" w:eastAsia="宋体" w:cs="宋体"/>
                <w:sz w:val="18"/>
                <w:szCs w:val="18"/>
                <w:lang w:eastAsia="zh-CN"/>
              </w:rPr>
              <w:t>：</w:t>
            </w:r>
            <w:r>
              <w:rPr>
                <w:rFonts w:hint="eastAsia" w:ascii="宋体" w:hAnsi="宋体" w:eastAsia="宋体" w:cs="宋体"/>
                <w:sz w:val="18"/>
                <w:szCs w:val="18"/>
              </w:rPr>
              <w:t>4个N型射频接口(2.4GHz×2，5GHz×2)</w:t>
            </w:r>
          </w:p>
          <w:p w14:paraId="314ACA39">
            <w:pPr>
              <w:bidi w:val="0"/>
              <w:rPr>
                <w:rFonts w:hint="eastAsia" w:ascii="宋体" w:hAnsi="宋体" w:eastAsia="宋体" w:cs="宋体"/>
                <w:sz w:val="18"/>
                <w:szCs w:val="18"/>
                <w:lang w:eastAsia="zh-CN"/>
              </w:rPr>
            </w:pPr>
            <w:r>
              <w:rPr>
                <w:rFonts w:hint="eastAsia" w:ascii="宋体" w:hAnsi="宋体" w:eastAsia="宋体" w:cs="宋体"/>
                <w:sz w:val="18"/>
                <w:szCs w:val="18"/>
              </w:rPr>
              <w:t>天线增益</w:t>
            </w:r>
            <w:r>
              <w:rPr>
                <w:rFonts w:hint="eastAsia" w:ascii="宋体" w:hAnsi="宋体" w:eastAsia="宋体" w:cs="宋体"/>
                <w:sz w:val="18"/>
                <w:szCs w:val="18"/>
                <w:lang w:eastAsia="zh-CN"/>
              </w:rPr>
              <w:t>：</w:t>
            </w:r>
            <w:r>
              <w:rPr>
                <w:rFonts w:hint="eastAsia" w:ascii="宋体" w:hAnsi="宋体" w:eastAsia="宋体" w:cs="宋体"/>
                <w:sz w:val="18"/>
                <w:szCs w:val="18"/>
              </w:rPr>
              <w:t>4dBi</w:t>
            </w:r>
            <w:r>
              <w:rPr>
                <w:rFonts w:hint="eastAsia" w:ascii="宋体" w:hAnsi="宋体" w:eastAsia="宋体" w:cs="宋体"/>
                <w:sz w:val="18"/>
                <w:szCs w:val="18"/>
                <w:lang w:eastAsia="zh-CN"/>
              </w:rPr>
              <w:t>、</w:t>
            </w:r>
            <w:r>
              <w:rPr>
                <w:rFonts w:hint="eastAsia" w:ascii="宋体" w:hAnsi="宋体" w:eastAsia="宋体" w:cs="宋体"/>
                <w:sz w:val="18"/>
                <w:szCs w:val="18"/>
              </w:rPr>
              <w:t>工作模式</w:t>
            </w:r>
            <w:r>
              <w:rPr>
                <w:rFonts w:hint="eastAsia" w:ascii="宋体" w:hAnsi="宋体" w:eastAsia="宋体" w:cs="宋体"/>
                <w:sz w:val="18"/>
                <w:szCs w:val="18"/>
                <w:lang w:eastAsia="zh-CN"/>
              </w:rPr>
              <w:t>：</w:t>
            </w:r>
            <w:r>
              <w:rPr>
                <w:rFonts w:hint="eastAsia" w:ascii="宋体" w:hAnsi="宋体" w:eastAsia="宋体" w:cs="宋体"/>
                <w:sz w:val="18"/>
                <w:szCs w:val="18"/>
              </w:rPr>
              <w:t>Fit AP/Fat AP模式</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含8个AP授权</w:t>
            </w:r>
            <w:r>
              <w:rPr>
                <w:rFonts w:hint="eastAsia" w:ascii="宋体" w:hAnsi="宋体" w:eastAsia="宋体" w:cs="宋体"/>
                <w:sz w:val="18"/>
                <w:szCs w:val="18"/>
                <w:lang w:eastAsia="zh-CN"/>
              </w:rPr>
              <w:t>）</w:t>
            </w:r>
          </w:p>
        </w:tc>
        <w:tc>
          <w:tcPr>
            <w:tcW w:w="855" w:type="dxa"/>
            <w:shd w:val="clear" w:color="auto" w:fill="auto"/>
            <w:noWrap w:val="0"/>
            <w:vAlign w:val="center"/>
          </w:tcPr>
          <w:p w14:paraId="62EB2FD5">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8</w:t>
            </w:r>
          </w:p>
        </w:tc>
        <w:tc>
          <w:tcPr>
            <w:tcW w:w="915" w:type="dxa"/>
            <w:shd w:val="clear" w:color="auto" w:fill="auto"/>
            <w:noWrap w:val="0"/>
            <w:vAlign w:val="center"/>
          </w:tcPr>
          <w:p w14:paraId="7D386281">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个</w:t>
            </w:r>
          </w:p>
        </w:tc>
      </w:tr>
      <w:tr w14:paraId="7D799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3D814247">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5</w:t>
            </w:r>
          </w:p>
        </w:tc>
        <w:tc>
          <w:tcPr>
            <w:tcW w:w="953" w:type="dxa"/>
            <w:shd w:val="clear" w:color="auto" w:fill="auto"/>
            <w:noWrap w:val="0"/>
            <w:vAlign w:val="center"/>
          </w:tcPr>
          <w:p w14:paraId="1B9FFBF4">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人工1</w:t>
            </w:r>
          </w:p>
        </w:tc>
        <w:tc>
          <w:tcPr>
            <w:tcW w:w="4843" w:type="dxa"/>
            <w:shd w:val="clear" w:color="auto" w:fill="auto"/>
            <w:noWrap w:val="0"/>
            <w:vAlign w:val="center"/>
          </w:tcPr>
          <w:p w14:paraId="117420E3">
            <w:pPr>
              <w:bidi w:val="0"/>
              <w:rPr>
                <w:rFonts w:hint="eastAsia" w:ascii="宋体" w:hAnsi="宋体" w:eastAsia="宋体" w:cs="宋体"/>
                <w:sz w:val="18"/>
                <w:szCs w:val="18"/>
              </w:rPr>
            </w:pPr>
            <w:r>
              <w:rPr>
                <w:rFonts w:hint="eastAsia" w:ascii="宋体" w:hAnsi="宋体" w:eastAsia="宋体" w:cs="宋体"/>
                <w:sz w:val="18"/>
                <w:szCs w:val="18"/>
                <w:lang w:val="en-US" w:eastAsia="zh-CN"/>
              </w:rPr>
              <w:t>AP安装、网线铺设、机柜整理、巡线、打标</w:t>
            </w:r>
          </w:p>
        </w:tc>
        <w:tc>
          <w:tcPr>
            <w:tcW w:w="855" w:type="dxa"/>
            <w:shd w:val="clear" w:color="auto" w:fill="auto"/>
            <w:noWrap w:val="0"/>
            <w:vAlign w:val="center"/>
          </w:tcPr>
          <w:p w14:paraId="640B77BB">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15" w:type="dxa"/>
            <w:shd w:val="clear" w:color="auto" w:fill="auto"/>
            <w:noWrap w:val="0"/>
            <w:vAlign w:val="center"/>
          </w:tcPr>
          <w:p w14:paraId="60F3A6B7">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定制</w:t>
            </w:r>
          </w:p>
        </w:tc>
      </w:tr>
      <w:tr w14:paraId="77A6D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7E247DCA">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6</w:t>
            </w:r>
          </w:p>
        </w:tc>
        <w:tc>
          <w:tcPr>
            <w:tcW w:w="953" w:type="dxa"/>
            <w:shd w:val="clear" w:color="auto" w:fill="auto"/>
            <w:noWrap w:val="0"/>
            <w:vAlign w:val="center"/>
          </w:tcPr>
          <w:p w14:paraId="2E28D93D">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人工2</w:t>
            </w:r>
          </w:p>
        </w:tc>
        <w:tc>
          <w:tcPr>
            <w:tcW w:w="4843" w:type="dxa"/>
            <w:shd w:val="clear" w:color="auto" w:fill="auto"/>
            <w:noWrap w:val="0"/>
            <w:vAlign w:val="center"/>
          </w:tcPr>
          <w:p w14:paraId="34B5BA81">
            <w:pPr>
              <w:bidi w:val="0"/>
              <w:rPr>
                <w:rFonts w:hint="eastAsia" w:ascii="宋体" w:hAnsi="宋体" w:eastAsia="宋体" w:cs="宋体"/>
                <w:sz w:val="18"/>
                <w:szCs w:val="18"/>
              </w:rPr>
            </w:pPr>
            <w:r>
              <w:rPr>
                <w:rFonts w:hint="eastAsia" w:ascii="宋体" w:hAnsi="宋体" w:eastAsia="宋体" w:cs="宋体"/>
                <w:sz w:val="18"/>
                <w:szCs w:val="18"/>
                <w:lang w:val="en-US" w:eastAsia="zh-CN"/>
              </w:rPr>
              <w:t>废旧线缆废除</w:t>
            </w:r>
          </w:p>
        </w:tc>
        <w:tc>
          <w:tcPr>
            <w:tcW w:w="855" w:type="dxa"/>
            <w:shd w:val="clear" w:color="auto" w:fill="auto"/>
            <w:noWrap w:val="0"/>
            <w:vAlign w:val="center"/>
          </w:tcPr>
          <w:p w14:paraId="4F381888">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15" w:type="dxa"/>
            <w:shd w:val="clear" w:color="auto" w:fill="auto"/>
            <w:noWrap w:val="0"/>
            <w:vAlign w:val="center"/>
          </w:tcPr>
          <w:p w14:paraId="10A2D874">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定制</w:t>
            </w:r>
          </w:p>
        </w:tc>
      </w:tr>
      <w:tr w14:paraId="20C1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61271B32">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7</w:t>
            </w:r>
          </w:p>
        </w:tc>
        <w:tc>
          <w:tcPr>
            <w:tcW w:w="953" w:type="dxa"/>
            <w:shd w:val="clear" w:color="auto" w:fill="auto"/>
            <w:noWrap w:val="0"/>
            <w:vAlign w:val="center"/>
          </w:tcPr>
          <w:p w14:paraId="51FA2EA5">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接入万兆</w:t>
            </w:r>
          </w:p>
        </w:tc>
        <w:tc>
          <w:tcPr>
            <w:tcW w:w="4843" w:type="dxa"/>
            <w:shd w:val="clear" w:color="auto" w:fill="auto"/>
            <w:noWrap w:val="0"/>
            <w:vAlign w:val="center"/>
          </w:tcPr>
          <w:p w14:paraId="20823D7A">
            <w:pPr>
              <w:bidi w:val="0"/>
              <w:jc w:val="left"/>
              <w:rPr>
                <w:rFonts w:hint="eastAsia" w:ascii="宋体" w:hAnsi="宋体" w:eastAsia="宋体" w:cs="宋体"/>
                <w:sz w:val="18"/>
                <w:szCs w:val="18"/>
              </w:rPr>
            </w:pPr>
            <w:r>
              <w:rPr>
                <w:rFonts w:hint="eastAsia" w:ascii="宋体" w:hAnsi="宋体" w:eastAsia="宋体" w:cs="宋体"/>
                <w:sz w:val="18"/>
                <w:szCs w:val="18"/>
                <w:lang w:val="en-US" w:eastAsia="zh-CN"/>
              </w:rPr>
              <w:t>1、交换容量≥432Gbps，包转发性能≥166Mpps，以官网所列最低参数为准，提供官网链接和截图证明。2、实配10/100/1000Base-T自适应以太网电接口数量≥48个，10GE 以太网光接口数量≥4个。3、工作环境温度-5ºC～45ºC，提供官网链接及截图证明。4、支持IPv4静态路由、RIP、OSPF，支持IPv6静态路由、RIPng、OSPFv3。5、支持IGMP Snooping v1/v2/v3，MLD Snooping v1/v2，支持PIM Snooping。6、支持基于端口的VLAN，支持基于协议的VLAN，支持基于MAC的VLAN。7、支持基于802.1X认证，支持基于端口的认证和基于MAC的认证。8、支持命令行接口（CLI）配置，支持Telnet远程配置，支持通过Console口配置，支持Telemetry可视化，支持SNMP和WEB网管，提供官网链接及截图证明。</w:t>
            </w:r>
          </w:p>
        </w:tc>
        <w:tc>
          <w:tcPr>
            <w:tcW w:w="855" w:type="dxa"/>
            <w:shd w:val="clear" w:color="auto" w:fill="auto"/>
            <w:noWrap w:val="0"/>
            <w:vAlign w:val="center"/>
          </w:tcPr>
          <w:p w14:paraId="25280680">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2</w:t>
            </w:r>
          </w:p>
        </w:tc>
        <w:tc>
          <w:tcPr>
            <w:tcW w:w="915" w:type="dxa"/>
            <w:shd w:val="clear" w:color="auto" w:fill="auto"/>
            <w:noWrap w:val="0"/>
            <w:vAlign w:val="center"/>
          </w:tcPr>
          <w:p w14:paraId="3571569F">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台</w:t>
            </w:r>
          </w:p>
        </w:tc>
      </w:tr>
      <w:tr w14:paraId="2F44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799DE015">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8</w:t>
            </w:r>
          </w:p>
        </w:tc>
        <w:tc>
          <w:tcPr>
            <w:tcW w:w="953" w:type="dxa"/>
            <w:shd w:val="clear" w:color="auto" w:fill="auto"/>
            <w:noWrap w:val="0"/>
            <w:vAlign w:val="center"/>
          </w:tcPr>
          <w:p w14:paraId="6E4D2935">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光纤模块（万兆单模）</w:t>
            </w:r>
          </w:p>
        </w:tc>
        <w:tc>
          <w:tcPr>
            <w:tcW w:w="4843" w:type="dxa"/>
            <w:shd w:val="clear" w:color="auto" w:fill="auto"/>
            <w:noWrap w:val="0"/>
            <w:vAlign w:val="center"/>
          </w:tcPr>
          <w:p w14:paraId="2BB9E8D5">
            <w:pPr>
              <w:bidi w:val="0"/>
              <w:rPr>
                <w:rFonts w:hint="eastAsia" w:ascii="宋体" w:hAnsi="宋体" w:eastAsia="宋体" w:cs="宋体"/>
                <w:sz w:val="18"/>
                <w:szCs w:val="18"/>
              </w:rPr>
            </w:pPr>
            <w:r>
              <w:rPr>
                <w:rFonts w:hint="eastAsia" w:ascii="宋体" w:hAnsi="宋体" w:eastAsia="宋体" w:cs="宋体"/>
                <w:sz w:val="18"/>
                <w:szCs w:val="18"/>
                <w:lang w:val="en-US" w:eastAsia="zh-CN"/>
              </w:rPr>
              <w:t>10Gbps/1310nm单模短距SFP+激光收发一体化模块，传输距离S10km，LC接口</w:t>
            </w:r>
          </w:p>
        </w:tc>
        <w:tc>
          <w:tcPr>
            <w:tcW w:w="855" w:type="dxa"/>
            <w:shd w:val="clear" w:color="auto" w:fill="auto"/>
            <w:noWrap w:val="0"/>
            <w:vAlign w:val="center"/>
          </w:tcPr>
          <w:p w14:paraId="748C7377">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4</w:t>
            </w:r>
          </w:p>
        </w:tc>
        <w:tc>
          <w:tcPr>
            <w:tcW w:w="915" w:type="dxa"/>
            <w:shd w:val="clear" w:color="auto" w:fill="auto"/>
            <w:noWrap w:val="0"/>
            <w:vAlign w:val="center"/>
          </w:tcPr>
          <w:p w14:paraId="4F603423">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块</w:t>
            </w:r>
          </w:p>
        </w:tc>
      </w:tr>
      <w:tr w14:paraId="4EE7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shd w:val="clear" w:color="auto" w:fill="auto"/>
            <w:noWrap w:val="0"/>
            <w:vAlign w:val="center"/>
          </w:tcPr>
          <w:p w14:paraId="70F2100D">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9</w:t>
            </w:r>
          </w:p>
        </w:tc>
        <w:tc>
          <w:tcPr>
            <w:tcW w:w="953" w:type="dxa"/>
            <w:shd w:val="clear" w:color="auto" w:fill="auto"/>
            <w:noWrap w:val="0"/>
            <w:vAlign w:val="center"/>
          </w:tcPr>
          <w:p w14:paraId="6C6C79B7">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网络机柜机柜</w:t>
            </w:r>
          </w:p>
        </w:tc>
        <w:tc>
          <w:tcPr>
            <w:tcW w:w="4843" w:type="dxa"/>
            <w:shd w:val="clear" w:color="auto" w:fill="auto"/>
            <w:noWrap w:val="0"/>
            <w:vAlign w:val="center"/>
          </w:tcPr>
          <w:p w14:paraId="10CF5106">
            <w:pPr>
              <w:bidi w:val="0"/>
              <w:rPr>
                <w:rFonts w:hint="eastAsia" w:ascii="宋体" w:hAnsi="宋体" w:eastAsia="宋体" w:cs="宋体"/>
                <w:sz w:val="18"/>
                <w:szCs w:val="18"/>
              </w:rPr>
            </w:pPr>
            <w:r>
              <w:rPr>
                <w:rFonts w:hint="eastAsia" w:ascii="宋体" w:hAnsi="宋体" w:eastAsia="宋体" w:cs="宋体"/>
                <w:sz w:val="18"/>
                <w:szCs w:val="18"/>
                <w:lang w:val="en-US" w:eastAsia="zh-CN"/>
              </w:rPr>
              <w:t>42U网络机柜</w:t>
            </w:r>
          </w:p>
        </w:tc>
        <w:tc>
          <w:tcPr>
            <w:tcW w:w="855" w:type="dxa"/>
            <w:shd w:val="clear" w:color="auto" w:fill="auto"/>
            <w:noWrap w:val="0"/>
            <w:vAlign w:val="center"/>
          </w:tcPr>
          <w:p w14:paraId="164C821B">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1</w:t>
            </w:r>
          </w:p>
        </w:tc>
        <w:tc>
          <w:tcPr>
            <w:tcW w:w="915" w:type="dxa"/>
            <w:shd w:val="clear" w:color="auto" w:fill="auto"/>
            <w:noWrap w:val="0"/>
            <w:vAlign w:val="center"/>
          </w:tcPr>
          <w:p w14:paraId="03A785E5">
            <w:pPr>
              <w:bidi w:val="0"/>
              <w:jc w:val="center"/>
              <w:rPr>
                <w:rFonts w:hint="eastAsia" w:ascii="宋体" w:hAnsi="宋体" w:eastAsia="宋体" w:cs="宋体"/>
                <w:sz w:val="18"/>
                <w:szCs w:val="18"/>
              </w:rPr>
            </w:pPr>
            <w:r>
              <w:rPr>
                <w:rFonts w:hint="eastAsia" w:ascii="宋体" w:hAnsi="宋体" w:eastAsia="宋体" w:cs="宋体"/>
                <w:sz w:val="18"/>
                <w:szCs w:val="18"/>
                <w:lang w:val="en-US" w:eastAsia="zh-CN"/>
              </w:rPr>
              <w:t>台</w:t>
            </w:r>
          </w:p>
        </w:tc>
      </w:tr>
    </w:tbl>
    <w:p w14:paraId="2093BEDA">
      <w:pPr>
        <w:pStyle w:val="2"/>
        <w:spacing w:before="0" w:after="0" w:line="360" w:lineRule="auto"/>
        <w:rPr>
          <w:rFonts w:hint="default" w:ascii="微软雅黑" w:hAnsi="微软雅黑" w:eastAsia="微软雅黑"/>
          <w:szCs w:val="32"/>
        </w:rPr>
      </w:pPr>
      <w:r>
        <w:rPr>
          <w:rFonts w:ascii="微软雅黑" w:hAnsi="微软雅黑" w:eastAsia="微软雅黑"/>
          <w:szCs w:val="32"/>
        </w:rPr>
        <w:t>第</w:t>
      </w:r>
      <w:r>
        <w:rPr>
          <w:rFonts w:hint="eastAsia" w:ascii="微软雅黑" w:hAnsi="微软雅黑" w:eastAsia="微软雅黑"/>
          <w:szCs w:val="32"/>
          <w:lang w:val="en-US" w:eastAsia="zh-CN"/>
        </w:rPr>
        <w:t>五</w:t>
      </w:r>
      <w:r>
        <w:rPr>
          <w:rFonts w:ascii="微软雅黑" w:hAnsi="微软雅黑" w:eastAsia="微软雅黑"/>
          <w:szCs w:val="32"/>
        </w:rPr>
        <w:t>章 响应文件的格式</w:t>
      </w:r>
    </w:p>
    <w:p w14:paraId="3BB968B2">
      <w:pPr>
        <w:spacing w:line="360" w:lineRule="auto"/>
        <w:rPr>
          <w:rFonts w:ascii="宋体" w:hAnsi="宋体" w:cs="仿宋_GB2312"/>
          <w:sz w:val="24"/>
          <w:lang w:val="zh-CN"/>
        </w:rPr>
      </w:pPr>
      <w:r>
        <w:rPr>
          <w:rFonts w:hint="eastAsia" w:ascii="宋体" w:hAnsi="宋体" w:cs="仿宋_GB2312"/>
          <w:sz w:val="24"/>
          <w:lang w:val="zh-CN"/>
        </w:rPr>
        <w:t>封面：</w:t>
      </w:r>
    </w:p>
    <w:p w14:paraId="3E01780B">
      <w:pPr>
        <w:tabs>
          <w:tab w:val="left" w:pos="1260"/>
        </w:tabs>
        <w:spacing w:line="300" w:lineRule="auto"/>
        <w:jc w:val="center"/>
        <w:rPr>
          <w:rFonts w:ascii="宋体" w:hAnsi="宋体"/>
          <w:b/>
          <w:bCs/>
          <w:spacing w:val="100"/>
          <w:sz w:val="52"/>
          <w:szCs w:val="56"/>
        </w:rPr>
      </w:pPr>
    </w:p>
    <w:p w14:paraId="76A281FD">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775A8691">
      <w:pPr>
        <w:autoSpaceDE w:val="0"/>
        <w:autoSpaceDN w:val="0"/>
        <w:adjustRightInd w:val="0"/>
        <w:rPr>
          <w:rFonts w:ascii="宋体" w:hAnsi="宋体"/>
        </w:rPr>
      </w:pPr>
    </w:p>
    <w:p w14:paraId="37756847">
      <w:pPr>
        <w:autoSpaceDE w:val="0"/>
        <w:autoSpaceDN w:val="0"/>
        <w:adjustRightInd w:val="0"/>
        <w:rPr>
          <w:rFonts w:ascii="宋体" w:hAnsi="宋体"/>
        </w:rPr>
      </w:pPr>
    </w:p>
    <w:p w14:paraId="52A4F333">
      <w:pPr>
        <w:autoSpaceDE w:val="0"/>
        <w:autoSpaceDN w:val="0"/>
        <w:adjustRightInd w:val="0"/>
        <w:jc w:val="center"/>
        <w:rPr>
          <w:rFonts w:ascii="宋体" w:hAnsi="宋体"/>
        </w:rPr>
      </w:pPr>
    </w:p>
    <w:p w14:paraId="081BF554">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621FEC2">
      <w:pPr>
        <w:autoSpaceDE w:val="0"/>
        <w:autoSpaceDN w:val="0"/>
        <w:adjustRightInd w:val="0"/>
        <w:rPr>
          <w:rFonts w:ascii="宋体" w:hAnsi="宋体"/>
          <w:b/>
          <w:bCs/>
          <w:sz w:val="22"/>
          <w:szCs w:val="22"/>
        </w:rPr>
      </w:pPr>
    </w:p>
    <w:p w14:paraId="36D6B899">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2F427A2C">
      <w:pPr>
        <w:autoSpaceDE w:val="0"/>
        <w:autoSpaceDN w:val="0"/>
        <w:adjustRightInd w:val="0"/>
        <w:rPr>
          <w:rFonts w:ascii="宋体" w:hAnsi="宋体"/>
          <w:szCs w:val="21"/>
        </w:rPr>
      </w:pPr>
    </w:p>
    <w:p w14:paraId="432474B9">
      <w:pPr>
        <w:autoSpaceDE w:val="0"/>
        <w:autoSpaceDN w:val="0"/>
        <w:adjustRightInd w:val="0"/>
        <w:rPr>
          <w:rFonts w:ascii="宋体" w:hAnsi="宋体"/>
          <w:szCs w:val="21"/>
        </w:rPr>
      </w:pPr>
    </w:p>
    <w:p w14:paraId="15ECC7A9">
      <w:pPr>
        <w:autoSpaceDE w:val="0"/>
        <w:autoSpaceDN w:val="0"/>
        <w:adjustRightInd w:val="0"/>
        <w:spacing w:line="360" w:lineRule="auto"/>
        <w:rPr>
          <w:rFonts w:ascii="宋体" w:hAnsi="宋体"/>
          <w:szCs w:val="21"/>
        </w:rPr>
      </w:pPr>
    </w:p>
    <w:p w14:paraId="2BD5AE53">
      <w:pPr>
        <w:autoSpaceDE w:val="0"/>
        <w:autoSpaceDN w:val="0"/>
        <w:adjustRightInd w:val="0"/>
        <w:spacing w:line="360" w:lineRule="auto"/>
        <w:rPr>
          <w:rFonts w:ascii="宋体" w:hAnsi="宋体"/>
          <w:szCs w:val="21"/>
        </w:rPr>
      </w:pPr>
    </w:p>
    <w:p w14:paraId="675E5F99">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项目编号：</w:t>
      </w:r>
    </w:p>
    <w:p w14:paraId="626E3B69">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项目名称：</w:t>
      </w:r>
    </w:p>
    <w:p w14:paraId="103B7F75">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16D5FB9E">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64A04B2B">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14:paraId="3A9FD62E">
      <w:pPr>
        <w:autoSpaceDE w:val="0"/>
        <w:autoSpaceDN w:val="0"/>
        <w:adjustRightInd w:val="0"/>
        <w:rPr>
          <w:rFonts w:ascii="宋体" w:hAnsi="宋体"/>
          <w:szCs w:val="21"/>
        </w:rPr>
      </w:pPr>
    </w:p>
    <w:p w14:paraId="27CD7584">
      <w:pPr>
        <w:autoSpaceDE w:val="0"/>
        <w:autoSpaceDN w:val="0"/>
        <w:adjustRightInd w:val="0"/>
        <w:rPr>
          <w:rFonts w:ascii="宋体" w:hAnsi="宋体"/>
          <w:szCs w:val="21"/>
        </w:rPr>
      </w:pPr>
    </w:p>
    <w:p w14:paraId="77F87A3D">
      <w:pPr>
        <w:autoSpaceDE w:val="0"/>
        <w:autoSpaceDN w:val="0"/>
        <w:adjustRightInd w:val="0"/>
        <w:rPr>
          <w:rFonts w:ascii="宋体" w:hAnsi="宋体"/>
          <w:szCs w:val="21"/>
        </w:rPr>
      </w:pPr>
    </w:p>
    <w:p w14:paraId="646819EA">
      <w:pPr>
        <w:autoSpaceDE w:val="0"/>
        <w:autoSpaceDN w:val="0"/>
        <w:adjustRightInd w:val="0"/>
        <w:rPr>
          <w:rFonts w:ascii="宋体" w:hAnsi="宋体"/>
          <w:szCs w:val="21"/>
        </w:rPr>
      </w:pPr>
    </w:p>
    <w:p w14:paraId="65B94E85">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2292E59E">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5FE0232A">
      <w:pPr>
        <w:pStyle w:val="3"/>
        <w:spacing w:before="120" w:beforeLines="50" w:after="120" w:afterLines="50" w:line="300" w:lineRule="auto"/>
        <w:jc w:val="center"/>
        <w:rPr>
          <w:rFonts w:ascii="宋体" w:hAnsi="宋体" w:eastAsia="宋体"/>
          <w:b w:val="0"/>
          <w:kern w:val="0"/>
          <w:sz w:val="36"/>
          <w:szCs w:val="36"/>
        </w:rPr>
      </w:pPr>
      <w:r>
        <w:rPr>
          <w:rFonts w:ascii="宋体" w:hAnsi="宋体" w:eastAsia="宋体"/>
          <w:sz w:val="44"/>
          <w:szCs w:val="44"/>
        </w:rPr>
        <w:br w:type="page"/>
      </w:r>
      <w:bookmarkStart w:id="37" w:name="_Toc109900008"/>
      <w:bookmarkStart w:id="38" w:name="_Toc57148501"/>
      <w:bookmarkStart w:id="39" w:name="_Toc168046948"/>
      <w:bookmarkStart w:id="40" w:name="_Toc56714501"/>
      <w:bookmarkStart w:id="41" w:name="_Toc109900427"/>
      <w:bookmarkStart w:id="42" w:name="_Toc60575575"/>
      <w:bookmarkStart w:id="43" w:name="_Toc109897490"/>
      <w:r>
        <w:rPr>
          <w:rFonts w:hint="eastAsia" w:ascii="宋体" w:hAnsi="宋体" w:eastAsia="宋体" w:cs="仿宋_GB2312"/>
          <w:bCs w:val="0"/>
          <w:szCs w:val="21"/>
        </w:rPr>
        <w:t>资格自查表</w:t>
      </w:r>
      <w:bookmarkEnd w:id="37"/>
      <w:bookmarkEnd w:id="38"/>
      <w:bookmarkEnd w:id="39"/>
      <w:bookmarkEnd w:id="40"/>
      <w:bookmarkEnd w:id="41"/>
      <w:bookmarkEnd w:id="42"/>
      <w:bookmarkEnd w:id="43"/>
    </w:p>
    <w:tbl>
      <w:tblPr>
        <w:tblStyle w:val="13"/>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8"/>
        <w:gridCol w:w="2575"/>
        <w:gridCol w:w="4255"/>
        <w:gridCol w:w="1095"/>
      </w:tblGrid>
      <w:tr w14:paraId="79E9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0CD95DC3">
            <w:pPr>
              <w:widowControl/>
              <w:adjustRightInd w:val="0"/>
              <w:snapToGrid w:val="0"/>
              <w:jc w:val="center"/>
              <w:rPr>
                <w:rFonts w:ascii="宋体" w:hAnsi="宋体" w:cs="宋体"/>
                <w:szCs w:val="21"/>
              </w:rPr>
            </w:pPr>
            <w:r>
              <w:rPr>
                <w:rFonts w:hint="eastAsia" w:ascii="宋体" w:hAnsi="宋体" w:cs="宋体"/>
                <w:szCs w:val="21"/>
              </w:rPr>
              <w:t>序号</w:t>
            </w:r>
          </w:p>
        </w:tc>
        <w:tc>
          <w:tcPr>
            <w:tcW w:w="2575" w:type="dxa"/>
            <w:tcBorders>
              <w:top w:val="single" w:color="auto" w:sz="4" w:space="0"/>
              <w:left w:val="single" w:color="auto" w:sz="4" w:space="0"/>
              <w:bottom w:val="single" w:color="auto" w:sz="4" w:space="0"/>
              <w:right w:val="single" w:color="auto" w:sz="4" w:space="0"/>
            </w:tcBorders>
            <w:vAlign w:val="center"/>
          </w:tcPr>
          <w:p w14:paraId="57B70636">
            <w:pPr>
              <w:adjustRightInd w:val="0"/>
              <w:snapToGrid w:val="0"/>
              <w:jc w:val="center"/>
              <w:rPr>
                <w:rFonts w:ascii="宋体" w:hAnsi="宋体" w:cs="宋体"/>
                <w:szCs w:val="21"/>
              </w:rPr>
            </w:pPr>
            <w:r>
              <w:rPr>
                <w:rFonts w:hint="eastAsia" w:ascii="宋体" w:hAnsi="宋体" w:cs="宋体"/>
                <w:szCs w:val="21"/>
              </w:rPr>
              <w:t>资格要求</w:t>
            </w:r>
          </w:p>
        </w:tc>
        <w:tc>
          <w:tcPr>
            <w:tcW w:w="4255" w:type="dxa"/>
            <w:tcBorders>
              <w:top w:val="single" w:color="auto" w:sz="4" w:space="0"/>
              <w:left w:val="single" w:color="auto" w:sz="4" w:space="0"/>
              <w:bottom w:val="single" w:color="auto" w:sz="4" w:space="0"/>
              <w:right w:val="single" w:color="auto" w:sz="4" w:space="0"/>
            </w:tcBorders>
            <w:vAlign w:val="center"/>
          </w:tcPr>
          <w:p w14:paraId="6913E709">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5" w:type="dxa"/>
            <w:tcBorders>
              <w:top w:val="single" w:color="auto" w:sz="4" w:space="0"/>
              <w:left w:val="single" w:color="auto" w:sz="4" w:space="0"/>
              <w:bottom w:val="single" w:color="auto" w:sz="4" w:space="0"/>
              <w:right w:val="single" w:color="auto" w:sz="4" w:space="0"/>
            </w:tcBorders>
          </w:tcPr>
          <w:p w14:paraId="0F643CA3">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4551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restart"/>
            <w:tcBorders>
              <w:top w:val="single" w:color="auto" w:sz="4" w:space="0"/>
              <w:left w:val="single" w:color="auto" w:sz="4" w:space="0"/>
              <w:bottom w:val="single" w:color="auto" w:sz="4" w:space="0"/>
              <w:right w:val="single" w:color="auto" w:sz="4" w:space="0"/>
            </w:tcBorders>
            <w:vAlign w:val="center"/>
          </w:tcPr>
          <w:p w14:paraId="40079FA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5146CB9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255" w:type="dxa"/>
            <w:tcBorders>
              <w:top w:val="single" w:color="auto" w:sz="4" w:space="0"/>
              <w:left w:val="single" w:color="auto" w:sz="4" w:space="0"/>
              <w:bottom w:val="single" w:color="auto" w:sz="4" w:space="0"/>
              <w:right w:val="single" w:color="auto" w:sz="4" w:space="0"/>
            </w:tcBorders>
            <w:vAlign w:val="center"/>
          </w:tcPr>
          <w:p w14:paraId="557B5EBE">
            <w:pPr>
              <w:snapToGrid w:val="0"/>
              <w:rPr>
                <w:rFonts w:ascii="宋体" w:hAnsi="宋体"/>
                <w:bCs/>
                <w:szCs w:val="21"/>
              </w:rPr>
            </w:pPr>
            <w:r>
              <w:rPr>
                <w:rFonts w:hint="eastAsia" w:ascii="宋体" w:hAnsi="宋体"/>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1095" w:type="dxa"/>
            <w:tcBorders>
              <w:top w:val="single" w:color="auto" w:sz="4" w:space="0"/>
              <w:left w:val="single" w:color="auto" w:sz="4" w:space="0"/>
              <w:bottom w:val="single" w:color="auto" w:sz="4" w:space="0"/>
              <w:right w:val="single" w:color="auto" w:sz="4" w:space="0"/>
            </w:tcBorders>
          </w:tcPr>
          <w:p w14:paraId="5DAF2C36">
            <w:pPr>
              <w:snapToGrid w:val="0"/>
              <w:rPr>
                <w:rFonts w:ascii="宋体" w:hAnsi="宋体"/>
                <w:bCs/>
                <w:szCs w:val="21"/>
              </w:rPr>
            </w:pPr>
          </w:p>
        </w:tc>
      </w:tr>
      <w:tr w14:paraId="6181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1016E1E9">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AD292D5">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255" w:type="dxa"/>
            <w:tcBorders>
              <w:top w:val="single" w:color="auto" w:sz="4" w:space="0"/>
              <w:left w:val="single" w:color="auto" w:sz="4" w:space="0"/>
              <w:bottom w:val="single" w:color="auto" w:sz="4" w:space="0"/>
              <w:right w:val="single" w:color="auto" w:sz="4" w:space="0"/>
            </w:tcBorders>
            <w:vAlign w:val="center"/>
          </w:tcPr>
          <w:p w14:paraId="278D5D50">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CBC7B58">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具有上一年度（202</w:t>
            </w:r>
            <w:r>
              <w:rPr>
                <w:rFonts w:ascii="宋体" w:hAnsi="宋体"/>
                <w:bCs/>
                <w:szCs w:val="21"/>
              </w:rPr>
              <w:t>3</w:t>
            </w:r>
            <w:r>
              <w:rPr>
                <w:rFonts w:hint="eastAsia" w:ascii="宋体" w:hAnsi="宋体"/>
                <w:bCs/>
                <w:szCs w:val="21"/>
              </w:rPr>
              <w:t>年度）</w:t>
            </w:r>
            <w:r>
              <w:rPr>
                <w:rFonts w:ascii="宋体" w:hAnsi="宋体"/>
                <w:bCs/>
                <w:szCs w:val="21"/>
              </w:rPr>
              <w:t>经审计的财务报告或</w:t>
            </w:r>
            <w:r>
              <w:rPr>
                <w:rFonts w:hint="eastAsia" w:ascii="宋体" w:hAnsi="宋体"/>
                <w:bCs/>
                <w:szCs w:val="21"/>
              </w:rPr>
              <w:t>2024</w:t>
            </w:r>
            <w:r>
              <w:rPr>
                <w:rFonts w:ascii="宋体" w:hAnsi="宋体"/>
                <w:bCs/>
                <w:szCs w:val="21"/>
              </w:rPr>
              <w:t>年</w:t>
            </w:r>
            <w:r>
              <w:rPr>
                <w:rFonts w:hint="eastAsia" w:ascii="宋体" w:hAnsi="宋体"/>
                <w:bCs/>
                <w:szCs w:val="21"/>
              </w:rPr>
              <w:t>1</w:t>
            </w:r>
            <w:r>
              <w:rPr>
                <w:rFonts w:ascii="宋体" w:hAnsi="宋体"/>
                <w:bCs/>
                <w:szCs w:val="21"/>
              </w:rPr>
              <w:t>月至今任意</w:t>
            </w:r>
            <w:r>
              <w:rPr>
                <w:rFonts w:hint="eastAsia" w:ascii="宋体" w:hAnsi="宋体"/>
                <w:bCs/>
                <w:szCs w:val="21"/>
              </w:rPr>
              <w:t>3个月财务报表</w:t>
            </w:r>
            <w:r>
              <w:rPr>
                <w:rFonts w:ascii="宋体" w:hAnsi="宋体"/>
                <w:bCs/>
                <w:szCs w:val="21"/>
              </w:rPr>
              <w:t>，或其基本开户银行出具的资信证明或近期财务报表。其他组织和自然人，没有经审计的财务报告，</w:t>
            </w:r>
            <w:r>
              <w:rPr>
                <w:rFonts w:hint="eastAsia" w:ascii="宋体" w:hAnsi="宋体"/>
                <w:bCs/>
                <w:szCs w:val="21"/>
              </w:rPr>
              <w:t>应具有</w:t>
            </w:r>
            <w:r>
              <w:rPr>
                <w:rFonts w:ascii="宋体" w:hAnsi="宋体"/>
                <w:bCs/>
                <w:szCs w:val="21"/>
              </w:rPr>
              <w:t>银行出具的资信证明。</w:t>
            </w:r>
          </w:p>
          <w:p w14:paraId="4DF7C487">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p w14:paraId="6621D977">
            <w:pPr>
              <w:snapToGrid w:val="0"/>
              <w:rPr>
                <w:rFonts w:ascii="宋体" w:hAnsi="宋体"/>
                <w:bCs/>
                <w:szCs w:val="21"/>
              </w:rPr>
            </w:pPr>
            <w:r>
              <w:rPr>
                <w:rFonts w:hint="eastAsia"/>
                <w:b/>
              </w:rPr>
              <w:t>备注：如果供应商</w:t>
            </w:r>
            <w:r>
              <w:rPr>
                <w:b/>
              </w:rPr>
              <w:t>同时提供了</w:t>
            </w:r>
            <w:r>
              <w:rPr>
                <w:rFonts w:hint="eastAsia"/>
                <w:b/>
              </w:rPr>
              <w:t>1）</w:t>
            </w:r>
            <w:r>
              <w:rPr>
                <w:b/>
              </w:rPr>
              <w:t>书面承诺及声明、</w:t>
            </w:r>
            <w:r>
              <w:rPr>
                <w:rFonts w:hint="eastAsia"/>
                <w:b/>
              </w:rPr>
              <w:t>2）</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4DFF11C7">
            <w:pPr>
              <w:snapToGrid w:val="0"/>
              <w:rPr>
                <w:rFonts w:ascii="宋体" w:hAnsi="宋体"/>
                <w:bCs/>
                <w:szCs w:val="21"/>
              </w:rPr>
            </w:pPr>
          </w:p>
        </w:tc>
      </w:tr>
      <w:tr w14:paraId="7DDC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CF901AC">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2D64A02D">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255" w:type="dxa"/>
            <w:tcBorders>
              <w:top w:val="single" w:color="auto" w:sz="4" w:space="0"/>
              <w:left w:val="single" w:color="auto" w:sz="4" w:space="0"/>
              <w:bottom w:val="single" w:color="auto" w:sz="4" w:space="0"/>
              <w:right w:val="single" w:color="auto" w:sz="4" w:space="0"/>
            </w:tcBorders>
            <w:vAlign w:val="center"/>
          </w:tcPr>
          <w:p w14:paraId="56495DA2">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7B42A015">
            <w:pPr>
              <w:snapToGrid w:val="0"/>
              <w:rPr>
                <w:rFonts w:ascii="宋体" w:hAnsi="宋体"/>
                <w:bCs/>
                <w:szCs w:val="21"/>
              </w:rPr>
            </w:pPr>
          </w:p>
        </w:tc>
      </w:tr>
      <w:tr w14:paraId="22C13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02CE2711">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578693D">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255" w:type="dxa"/>
            <w:tcBorders>
              <w:top w:val="single" w:color="auto" w:sz="4" w:space="0"/>
              <w:left w:val="single" w:color="auto" w:sz="4" w:space="0"/>
              <w:bottom w:val="single" w:color="auto" w:sz="4" w:space="0"/>
              <w:right w:val="single" w:color="auto" w:sz="4" w:space="0"/>
            </w:tcBorders>
            <w:vAlign w:val="center"/>
          </w:tcPr>
          <w:p w14:paraId="2CD87022">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53483AFE">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58354B8E">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2DF13189">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23C047FD">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0F82ACB1">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57521CB8">
            <w:pPr>
              <w:adjustRightInd w:val="0"/>
              <w:snapToGrid w:val="0"/>
              <w:ind w:firstLine="420" w:firstLineChars="200"/>
              <w:rPr>
                <w:rFonts w:ascii="宋体" w:hAnsi="宋体"/>
                <w:szCs w:val="21"/>
                <w:lang w:val="hr-HR"/>
              </w:rPr>
            </w:pPr>
            <w:r>
              <w:rPr>
                <w:rFonts w:hint="eastAsia" w:ascii="宋体" w:hAnsi="宋体"/>
                <w:szCs w:val="21"/>
                <w:lang w:val="hr-HR"/>
              </w:rPr>
              <w:t>依法免税或不需要缴纳社会保障资金的供应商，具有相应文件证明其依法免税或不需要交纳社会保障资金。</w:t>
            </w:r>
          </w:p>
          <w:p w14:paraId="3B0D5C23">
            <w:pPr>
              <w:snapToGrid w:val="0"/>
              <w:spacing w:line="300" w:lineRule="auto"/>
              <w:ind w:firstLine="422" w:firstLineChars="200"/>
              <w:rPr>
                <w:rFonts w:ascii="宋体" w:hAnsi="宋体"/>
                <w:bCs/>
                <w:szCs w:val="21"/>
              </w:rPr>
            </w:pPr>
            <w:r>
              <w:rPr>
                <w:rFonts w:hint="eastAsia" w:ascii="宋体" w:hAnsi="宋体"/>
                <w:b/>
                <w:szCs w:val="21"/>
                <w:lang w:val="hr-HR"/>
              </w:rPr>
              <w:t>备注：如果供应商</w:t>
            </w:r>
            <w:r>
              <w:rPr>
                <w:rFonts w:ascii="宋体" w:hAnsi="宋体"/>
                <w:b/>
                <w:szCs w:val="21"/>
                <w:lang w:val="hr-HR"/>
              </w:rPr>
              <w:t>同时提供了</w:t>
            </w:r>
            <w:r>
              <w:rPr>
                <w:rFonts w:hint="eastAsia" w:ascii="宋体" w:hAnsi="宋体"/>
                <w:b/>
                <w:szCs w:val="21"/>
                <w:lang w:val="hr-HR"/>
              </w:rPr>
              <w:t>1）</w:t>
            </w:r>
            <w:r>
              <w:rPr>
                <w:rFonts w:ascii="宋体" w:hAnsi="宋体"/>
                <w:b/>
                <w:szCs w:val="21"/>
                <w:lang w:val="hr-HR"/>
              </w:rPr>
              <w:t>书面承诺及声明、</w:t>
            </w:r>
            <w:r>
              <w:rPr>
                <w:rFonts w:hint="eastAsia" w:ascii="宋体" w:hAnsi="宋体"/>
                <w:b/>
                <w:szCs w:val="21"/>
                <w:lang w:val="hr-HR"/>
              </w:rPr>
              <w:t>2）</w:t>
            </w:r>
            <w:r>
              <w:rPr>
                <w:rFonts w:ascii="宋体" w:hAnsi="宋体"/>
                <w:b/>
                <w:szCs w:val="21"/>
                <w:lang w:val="hr-HR"/>
              </w:rPr>
              <w:t>相应证明材料</w:t>
            </w:r>
            <w:r>
              <w:rPr>
                <w:rFonts w:hint="eastAsia" w:ascii="宋体" w:hAnsi="宋体"/>
                <w:b/>
                <w:szCs w:val="21"/>
                <w:lang w:val="hr-HR"/>
              </w:rPr>
              <w:t>，且二者</w:t>
            </w:r>
            <w:r>
              <w:rPr>
                <w:rFonts w:ascii="宋体" w:hAnsi="宋体"/>
                <w:b/>
                <w:szCs w:val="21"/>
                <w:lang w:val="hr-HR"/>
              </w:rPr>
              <w:t>内容不一致的，</w:t>
            </w:r>
            <w:r>
              <w:rPr>
                <w:rFonts w:hint="eastAsia" w:ascii="宋体" w:hAnsi="宋体"/>
                <w:b/>
                <w:szCs w:val="21"/>
                <w:lang w:val="hr-HR"/>
              </w:rPr>
              <w:t>评审</w:t>
            </w:r>
            <w:r>
              <w:rPr>
                <w:rFonts w:ascii="宋体" w:hAnsi="宋体"/>
                <w:b/>
                <w:szCs w:val="21"/>
                <w:lang w:val="hr-HR"/>
              </w:rPr>
              <w:t>专家有权</w:t>
            </w:r>
            <w:r>
              <w:rPr>
                <w:rFonts w:hint="eastAsia" w:ascii="宋体" w:hAnsi="宋体"/>
                <w:b/>
                <w:szCs w:val="21"/>
                <w:lang w:val="hr-HR"/>
              </w:rPr>
              <w:t>任选</w:t>
            </w:r>
            <w:r>
              <w:rPr>
                <w:rFonts w:ascii="宋体" w:hAnsi="宋体"/>
                <w:b/>
                <w:szCs w:val="21"/>
                <w:lang w:val="hr-HR"/>
              </w:rPr>
              <w:t>其中一种进行</w:t>
            </w:r>
            <w:r>
              <w:rPr>
                <w:rFonts w:hint="eastAsia" w:ascii="宋体" w:hAnsi="宋体"/>
                <w:b/>
                <w:szCs w:val="21"/>
                <w:lang w:val="hr-HR"/>
              </w:rPr>
              <w:t>评审</w:t>
            </w:r>
            <w:r>
              <w:rPr>
                <w:rFonts w:ascii="宋体" w:hAnsi="宋体"/>
                <w:b/>
                <w:szCs w:val="21"/>
                <w:lang w:val="hr-HR"/>
              </w:rPr>
              <w:t>，</w:t>
            </w:r>
            <w:r>
              <w:rPr>
                <w:rFonts w:hint="eastAsia" w:ascii="宋体" w:hAnsi="宋体"/>
                <w:b/>
                <w:szCs w:val="21"/>
                <w:lang w:val="hr-HR"/>
              </w:rPr>
              <w:t>由</w:t>
            </w:r>
            <w:r>
              <w:rPr>
                <w:rFonts w:ascii="宋体" w:hAnsi="宋体"/>
                <w:b/>
                <w:szCs w:val="21"/>
                <w:lang w:val="hr-HR"/>
              </w:rPr>
              <w:t>供应商自行承担一切后果。</w:t>
            </w:r>
          </w:p>
        </w:tc>
        <w:tc>
          <w:tcPr>
            <w:tcW w:w="1095" w:type="dxa"/>
            <w:tcBorders>
              <w:top w:val="single" w:color="auto" w:sz="4" w:space="0"/>
              <w:left w:val="single" w:color="auto" w:sz="4" w:space="0"/>
              <w:bottom w:val="single" w:color="auto" w:sz="4" w:space="0"/>
              <w:right w:val="single" w:color="auto" w:sz="4" w:space="0"/>
            </w:tcBorders>
          </w:tcPr>
          <w:p w14:paraId="55F5D99B">
            <w:pPr>
              <w:snapToGrid w:val="0"/>
              <w:spacing w:line="300" w:lineRule="auto"/>
              <w:ind w:firstLine="315" w:firstLineChars="150"/>
              <w:rPr>
                <w:rFonts w:ascii="宋体" w:hAnsi="宋体"/>
                <w:bCs/>
                <w:szCs w:val="21"/>
              </w:rPr>
            </w:pPr>
          </w:p>
        </w:tc>
      </w:tr>
      <w:tr w14:paraId="2880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3FC9623A">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177CE65">
            <w:pPr>
              <w:widowControl/>
              <w:adjustRightInd w:val="0"/>
              <w:snapToGrid w:val="0"/>
              <w:rPr>
                <w:rFonts w:ascii="宋体" w:hAnsi="宋体"/>
                <w:szCs w:val="21"/>
                <w:lang w:val="hr-HR"/>
              </w:rPr>
            </w:pPr>
            <w:r>
              <w:rPr>
                <w:rFonts w:hint="eastAsia" w:ascii="宋体" w:hAnsi="宋体"/>
                <w:szCs w:val="21"/>
                <w:lang w:val="hr-HR"/>
              </w:rPr>
              <w:t>参加采购活动前三年内，在经营活动中没有重大违法记录</w:t>
            </w:r>
          </w:p>
        </w:tc>
        <w:tc>
          <w:tcPr>
            <w:tcW w:w="4255" w:type="dxa"/>
            <w:tcBorders>
              <w:top w:val="single" w:color="auto" w:sz="4" w:space="0"/>
              <w:left w:val="single" w:color="auto" w:sz="4" w:space="0"/>
              <w:bottom w:val="single" w:color="auto" w:sz="4" w:space="0"/>
              <w:right w:val="single" w:color="auto" w:sz="4" w:space="0"/>
            </w:tcBorders>
            <w:vAlign w:val="center"/>
          </w:tcPr>
          <w:p w14:paraId="0A0FD554">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4CD9EA0D">
            <w:pPr>
              <w:widowControl/>
              <w:adjustRightInd w:val="0"/>
              <w:snapToGrid w:val="0"/>
              <w:rPr>
                <w:rFonts w:ascii="宋体" w:hAnsi="宋体"/>
                <w:bCs/>
                <w:szCs w:val="21"/>
              </w:rPr>
            </w:pPr>
          </w:p>
        </w:tc>
      </w:tr>
      <w:tr w14:paraId="3030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vMerge w:val="continue"/>
            <w:tcBorders>
              <w:top w:val="single" w:color="auto" w:sz="4" w:space="0"/>
              <w:left w:val="single" w:color="auto" w:sz="4" w:space="0"/>
              <w:bottom w:val="single" w:color="auto" w:sz="4" w:space="0"/>
              <w:right w:val="single" w:color="auto" w:sz="4" w:space="0"/>
            </w:tcBorders>
            <w:vAlign w:val="center"/>
          </w:tcPr>
          <w:p w14:paraId="6D5B3D26">
            <w:pPr>
              <w:widowControl/>
              <w:numPr>
                <w:ilvl w:val="0"/>
                <w:numId w:val="3"/>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4AB78AB5">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255" w:type="dxa"/>
            <w:tcBorders>
              <w:top w:val="single" w:color="auto" w:sz="4" w:space="0"/>
              <w:left w:val="single" w:color="auto" w:sz="4" w:space="0"/>
              <w:bottom w:val="single" w:color="auto" w:sz="4" w:space="0"/>
              <w:right w:val="single" w:color="auto" w:sz="4" w:space="0"/>
            </w:tcBorders>
            <w:vAlign w:val="center"/>
          </w:tcPr>
          <w:p w14:paraId="4C35E1EB">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5" w:type="dxa"/>
            <w:tcBorders>
              <w:top w:val="single" w:color="auto" w:sz="4" w:space="0"/>
              <w:left w:val="single" w:color="auto" w:sz="4" w:space="0"/>
              <w:bottom w:val="single" w:color="auto" w:sz="4" w:space="0"/>
              <w:right w:val="single" w:color="auto" w:sz="4" w:space="0"/>
            </w:tcBorders>
          </w:tcPr>
          <w:p w14:paraId="6FA81904">
            <w:pPr>
              <w:widowControl/>
              <w:adjustRightInd w:val="0"/>
              <w:snapToGrid w:val="0"/>
              <w:rPr>
                <w:rFonts w:ascii="宋体" w:hAnsi="宋体"/>
                <w:szCs w:val="21"/>
                <w:lang w:val="hr-HR"/>
              </w:rPr>
            </w:pPr>
          </w:p>
        </w:tc>
      </w:tr>
      <w:tr w14:paraId="4F95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1DAFDAC">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7DECD7E3">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单位负责人为同一人或者存在直接控股、管理关系的不同的供应商，不得参加本项目同一合同项下的采购活动</w:t>
            </w:r>
          </w:p>
        </w:tc>
        <w:tc>
          <w:tcPr>
            <w:tcW w:w="4255" w:type="dxa"/>
            <w:tcBorders>
              <w:top w:val="single" w:color="auto" w:sz="4" w:space="0"/>
              <w:left w:val="single" w:color="auto" w:sz="4" w:space="0"/>
              <w:bottom w:val="single" w:color="auto" w:sz="4" w:space="0"/>
              <w:right w:val="single" w:color="auto" w:sz="4" w:space="0"/>
            </w:tcBorders>
            <w:vAlign w:val="center"/>
          </w:tcPr>
          <w:p w14:paraId="681AFE51">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5" w:type="dxa"/>
            <w:tcBorders>
              <w:top w:val="single" w:color="auto" w:sz="4" w:space="0"/>
              <w:left w:val="single" w:color="auto" w:sz="4" w:space="0"/>
              <w:bottom w:val="single" w:color="auto" w:sz="4" w:space="0"/>
              <w:right w:val="single" w:color="auto" w:sz="4" w:space="0"/>
            </w:tcBorders>
          </w:tcPr>
          <w:p w14:paraId="0C05B3A2">
            <w:pPr>
              <w:widowControl/>
              <w:adjustRightInd w:val="0"/>
              <w:snapToGrid w:val="0"/>
              <w:rPr>
                <w:rFonts w:ascii="宋体" w:hAnsi="宋体"/>
                <w:szCs w:val="21"/>
                <w:lang w:val="hr-HR"/>
              </w:rPr>
            </w:pPr>
          </w:p>
        </w:tc>
      </w:tr>
      <w:tr w14:paraId="74E3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1" w:hRule="atLeast"/>
          <w:jc w:val="center"/>
        </w:trPr>
        <w:tc>
          <w:tcPr>
            <w:tcW w:w="418" w:type="dxa"/>
            <w:tcBorders>
              <w:top w:val="single" w:color="auto" w:sz="4" w:space="0"/>
              <w:left w:val="single" w:color="auto" w:sz="4" w:space="0"/>
              <w:bottom w:val="single" w:color="auto" w:sz="4" w:space="0"/>
              <w:right w:val="single" w:color="auto" w:sz="4" w:space="0"/>
            </w:tcBorders>
            <w:vAlign w:val="center"/>
          </w:tcPr>
          <w:p w14:paraId="100ACF67">
            <w:pPr>
              <w:widowControl/>
              <w:numPr>
                <w:ilvl w:val="0"/>
                <w:numId w:val="2"/>
              </w:numPr>
              <w:adjustRightInd w:val="0"/>
              <w:snapToGrid w:val="0"/>
              <w:rPr>
                <w:rFonts w:ascii="宋体" w:hAnsi="宋体" w:cs="宋体"/>
                <w:szCs w:val="21"/>
              </w:rPr>
            </w:pPr>
          </w:p>
        </w:tc>
        <w:tc>
          <w:tcPr>
            <w:tcW w:w="2575" w:type="dxa"/>
            <w:tcBorders>
              <w:top w:val="single" w:color="auto" w:sz="4" w:space="0"/>
              <w:left w:val="single" w:color="auto" w:sz="4" w:space="0"/>
              <w:bottom w:val="single" w:color="auto" w:sz="4" w:space="0"/>
              <w:right w:val="single" w:color="auto" w:sz="4" w:space="0"/>
            </w:tcBorders>
            <w:vAlign w:val="center"/>
          </w:tcPr>
          <w:p w14:paraId="6A8C1F5C">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255" w:type="dxa"/>
            <w:tcBorders>
              <w:top w:val="single" w:color="auto" w:sz="4" w:space="0"/>
              <w:left w:val="single" w:color="auto" w:sz="4" w:space="0"/>
              <w:bottom w:val="single" w:color="auto" w:sz="4" w:space="0"/>
              <w:right w:val="single" w:color="auto" w:sz="4" w:space="0"/>
            </w:tcBorders>
            <w:vAlign w:val="center"/>
          </w:tcPr>
          <w:p w14:paraId="7ADFC43C">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w:t>
            </w:r>
            <w:r>
              <w:rPr>
                <w:rFonts w:hint="eastAsia" w:ascii="宋体" w:hAnsi="宋体"/>
                <w:szCs w:val="21"/>
                <w:lang w:val="hr-HR"/>
              </w:rPr>
              <w:t>供应商</w:t>
            </w:r>
            <w:r>
              <w:rPr>
                <w:rFonts w:ascii="宋体" w:hAnsi="宋体"/>
                <w:szCs w:val="21"/>
                <w:lang w:val="hr-HR"/>
              </w:rPr>
              <w:t>提供查询截图或</w:t>
            </w:r>
            <w:r>
              <w:rPr>
                <w:rFonts w:hint="eastAsia" w:ascii="宋体" w:hAnsi="宋体"/>
                <w:szCs w:val="21"/>
                <w:lang w:val="hr-HR"/>
              </w:rPr>
              <w:t>承诺</w:t>
            </w:r>
            <w:r>
              <w:rPr>
                <w:rFonts w:ascii="宋体" w:hAnsi="宋体"/>
                <w:szCs w:val="21"/>
                <w:lang w:val="hr-HR"/>
              </w:rPr>
              <w:t>）</w:t>
            </w:r>
            <w:r>
              <w:rPr>
                <w:rFonts w:hint="eastAsia" w:ascii="宋体" w:hAnsi="宋体"/>
                <w:szCs w:val="21"/>
                <w:lang w:val="hr-HR"/>
              </w:rPr>
              <w:t>。</w:t>
            </w:r>
          </w:p>
        </w:tc>
        <w:tc>
          <w:tcPr>
            <w:tcW w:w="1095" w:type="dxa"/>
            <w:tcBorders>
              <w:top w:val="single" w:color="auto" w:sz="4" w:space="0"/>
              <w:left w:val="single" w:color="auto" w:sz="4" w:space="0"/>
              <w:bottom w:val="single" w:color="auto" w:sz="4" w:space="0"/>
              <w:right w:val="single" w:color="auto" w:sz="4" w:space="0"/>
            </w:tcBorders>
          </w:tcPr>
          <w:p w14:paraId="4057F57E">
            <w:pPr>
              <w:widowControl/>
              <w:adjustRightInd w:val="0"/>
              <w:snapToGrid w:val="0"/>
              <w:rPr>
                <w:rFonts w:ascii="宋体" w:hAnsi="宋体"/>
                <w:szCs w:val="21"/>
                <w:lang w:val="hr-HR"/>
              </w:rPr>
            </w:pPr>
          </w:p>
        </w:tc>
      </w:tr>
    </w:tbl>
    <w:p w14:paraId="21A40981">
      <w:pPr>
        <w:keepNext/>
        <w:keepLines/>
        <w:spacing w:line="360" w:lineRule="auto"/>
        <w:ind w:left="3747" w:hanging="3747" w:hangingChars="1333"/>
        <w:jc w:val="center"/>
        <w:outlineLvl w:val="1"/>
        <w:rPr>
          <w:rFonts w:hint="eastAsia" w:ascii="宋体" w:hAnsi="宋体" w:cs="仿宋_GB2312"/>
          <w:b/>
          <w:sz w:val="28"/>
          <w:szCs w:val="28"/>
        </w:rPr>
      </w:pPr>
      <w:bookmarkStart w:id="44" w:name="_Toc56708576"/>
      <w:bookmarkStart w:id="45" w:name="_Toc168046952"/>
      <w:bookmarkStart w:id="46" w:name="_Toc109897494"/>
      <w:bookmarkStart w:id="47" w:name="_Toc109900012"/>
      <w:bookmarkStart w:id="48" w:name="_Toc109900431"/>
    </w:p>
    <w:p w14:paraId="14390BE1">
      <w:pPr>
        <w:keepNext/>
        <w:keepLines/>
        <w:spacing w:line="360" w:lineRule="auto"/>
        <w:ind w:left="3747" w:hanging="3747" w:hangingChars="1333"/>
        <w:jc w:val="center"/>
        <w:outlineLvl w:val="1"/>
        <w:rPr>
          <w:rFonts w:hint="eastAsia" w:ascii="宋体" w:hAnsi="宋体" w:cs="仿宋_GB2312"/>
          <w:b/>
          <w:sz w:val="28"/>
          <w:szCs w:val="28"/>
        </w:rPr>
      </w:pPr>
    </w:p>
    <w:p w14:paraId="05C02B2B">
      <w:pPr>
        <w:keepNext/>
        <w:keepLines/>
        <w:spacing w:line="360" w:lineRule="auto"/>
        <w:ind w:left="3747" w:hanging="3747" w:hangingChars="1333"/>
        <w:jc w:val="center"/>
        <w:outlineLvl w:val="1"/>
        <w:rPr>
          <w:rFonts w:hint="eastAsia" w:ascii="宋体" w:hAnsi="宋体" w:cs="仿宋_GB2312"/>
          <w:b/>
          <w:sz w:val="28"/>
          <w:szCs w:val="28"/>
        </w:rPr>
      </w:pPr>
    </w:p>
    <w:p w14:paraId="5C0E4DA0">
      <w:pPr>
        <w:bidi w:val="0"/>
        <w:rPr>
          <w:rFonts w:hint="eastAsia"/>
        </w:rPr>
      </w:pPr>
    </w:p>
    <w:p w14:paraId="2BD5933E">
      <w:pPr>
        <w:keepNext/>
        <w:keepLines/>
        <w:spacing w:line="360" w:lineRule="auto"/>
        <w:ind w:left="3747" w:hanging="3747" w:hangingChars="1333"/>
        <w:jc w:val="center"/>
        <w:outlineLvl w:val="1"/>
        <w:rPr>
          <w:rFonts w:hint="eastAsia" w:ascii="宋体" w:hAnsi="宋体" w:cs="仿宋_GB2312"/>
          <w:b/>
          <w:sz w:val="28"/>
          <w:szCs w:val="28"/>
        </w:rPr>
      </w:pPr>
    </w:p>
    <w:p w14:paraId="12E4E48F">
      <w:pPr>
        <w:keepNext/>
        <w:keepLines/>
        <w:spacing w:line="360" w:lineRule="auto"/>
        <w:ind w:left="3747" w:hanging="3747" w:hangingChars="1333"/>
        <w:jc w:val="center"/>
        <w:outlineLvl w:val="1"/>
        <w:rPr>
          <w:rFonts w:hint="eastAsia" w:ascii="宋体" w:hAnsi="宋体" w:cs="仿宋_GB2312"/>
          <w:b/>
          <w:sz w:val="28"/>
          <w:szCs w:val="28"/>
        </w:rPr>
      </w:pPr>
    </w:p>
    <w:p w14:paraId="70B77DB1">
      <w:pPr>
        <w:keepNext/>
        <w:keepLines/>
        <w:spacing w:line="360" w:lineRule="auto"/>
        <w:ind w:left="3747" w:hanging="3747" w:hangingChars="1333"/>
        <w:jc w:val="center"/>
        <w:outlineLvl w:val="1"/>
        <w:rPr>
          <w:rFonts w:hint="eastAsia" w:ascii="宋体" w:hAnsi="宋体" w:cs="仿宋_GB2312"/>
          <w:b/>
          <w:sz w:val="28"/>
          <w:szCs w:val="28"/>
        </w:rPr>
      </w:pPr>
    </w:p>
    <w:p w14:paraId="26FF4277">
      <w:pPr>
        <w:pStyle w:val="6"/>
        <w:rPr>
          <w:rFonts w:hint="eastAsia"/>
        </w:rPr>
      </w:pPr>
    </w:p>
    <w:p w14:paraId="1CFCD09E">
      <w:pPr>
        <w:keepNext/>
        <w:keepLines/>
        <w:spacing w:line="360" w:lineRule="auto"/>
        <w:jc w:val="both"/>
        <w:outlineLvl w:val="1"/>
        <w:rPr>
          <w:rFonts w:hint="eastAsia" w:ascii="宋体" w:hAnsi="宋体" w:cs="仿宋_GB2312"/>
          <w:b/>
          <w:sz w:val="28"/>
          <w:szCs w:val="28"/>
        </w:rPr>
      </w:pPr>
    </w:p>
    <w:p w14:paraId="56FEE680">
      <w:pPr>
        <w:pStyle w:val="6"/>
        <w:rPr>
          <w:rFonts w:hint="eastAsia"/>
        </w:rPr>
      </w:pPr>
    </w:p>
    <w:p w14:paraId="38EA584E">
      <w:pPr>
        <w:keepNext/>
        <w:keepLines/>
        <w:spacing w:line="360" w:lineRule="auto"/>
        <w:ind w:left="3747" w:hanging="3747" w:hangingChars="1333"/>
        <w:jc w:val="center"/>
        <w:outlineLvl w:val="1"/>
        <w:rPr>
          <w:rFonts w:hint="eastAsia" w:ascii="宋体" w:hAnsi="宋体" w:cs="仿宋_GB2312"/>
          <w:b/>
          <w:sz w:val="28"/>
          <w:szCs w:val="28"/>
        </w:rPr>
      </w:pPr>
    </w:p>
    <w:p w14:paraId="21084BA8">
      <w:pPr>
        <w:keepNext/>
        <w:keepLines/>
        <w:spacing w:line="360" w:lineRule="auto"/>
        <w:ind w:left="3747" w:hanging="3747" w:hangingChars="1333"/>
        <w:jc w:val="center"/>
        <w:outlineLvl w:val="1"/>
        <w:rPr>
          <w:rFonts w:ascii="宋体" w:hAnsi="宋体" w:cs="仿宋_GB2312"/>
          <w:b/>
          <w:sz w:val="28"/>
          <w:szCs w:val="28"/>
        </w:rPr>
      </w:pPr>
      <w:r>
        <w:rPr>
          <w:rFonts w:hint="eastAsia" w:ascii="宋体" w:hAnsi="宋体" w:cs="仿宋_GB2312"/>
          <w:b/>
          <w:sz w:val="28"/>
          <w:szCs w:val="28"/>
        </w:rPr>
        <w:t>（二）法定代表人身份证明</w:t>
      </w:r>
      <w:bookmarkEnd w:id="44"/>
      <w:bookmarkEnd w:id="45"/>
      <w:bookmarkEnd w:id="46"/>
      <w:bookmarkEnd w:id="47"/>
      <w:bookmarkEnd w:id="48"/>
      <w:r>
        <w:rPr>
          <w:rFonts w:hint="eastAsia" w:ascii="宋体" w:hAnsi="宋体" w:cs="仿宋_GB2312"/>
          <w:b/>
          <w:sz w:val="28"/>
          <w:szCs w:val="28"/>
        </w:rPr>
        <w:t xml:space="preserve"> </w:t>
      </w:r>
    </w:p>
    <w:p w14:paraId="19400F82">
      <w:pPr>
        <w:widowControl/>
        <w:spacing w:line="360" w:lineRule="auto"/>
        <w:rPr>
          <w:rFonts w:ascii="宋体" w:hAnsi="宋体"/>
        </w:rPr>
      </w:pPr>
    </w:p>
    <w:p w14:paraId="29038A2E">
      <w:pPr>
        <w:spacing w:line="360" w:lineRule="auto"/>
        <w:ind w:firstLine="480" w:firstLineChars="200"/>
        <w:rPr>
          <w:rFonts w:ascii="宋体" w:hAnsi="宋体" w:cs="仿宋_GB2312"/>
          <w:sz w:val="24"/>
        </w:rPr>
      </w:pPr>
      <w:r>
        <w:rPr>
          <w:rFonts w:hint="eastAsia" w:ascii="宋体" w:hAnsi="宋体" w:cs="仿宋_GB2312"/>
          <w:sz w:val="24"/>
        </w:rPr>
        <w:t xml:space="preserve">供应商名称：                    </w:t>
      </w:r>
      <w:r>
        <w:rPr>
          <w:rFonts w:ascii="宋体" w:hAnsi="宋体" w:cs="仿宋_GB2312"/>
          <w:sz w:val="24"/>
        </w:rPr>
        <w:t xml:space="preserve"> </w:t>
      </w:r>
      <w:r>
        <w:rPr>
          <w:rFonts w:hint="eastAsia" w:ascii="宋体" w:hAnsi="宋体" w:cs="仿宋_GB2312"/>
          <w:sz w:val="24"/>
        </w:rPr>
        <w:t xml:space="preserve">  </w:t>
      </w:r>
    </w:p>
    <w:p w14:paraId="4275214D">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057CC0CF">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2FDDE2EF">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1C81E465">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1B202894">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0766C070">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5FF89D10">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7977260B">
      <w:pPr>
        <w:spacing w:line="360" w:lineRule="auto"/>
        <w:ind w:firstLine="480" w:firstLineChars="200"/>
        <w:rPr>
          <w:rFonts w:ascii="宋体" w:hAnsi="宋体" w:cs="仿宋_GB2312"/>
          <w:sz w:val="24"/>
        </w:rPr>
      </w:pPr>
      <w:r>
        <w:rPr>
          <w:rFonts w:hint="eastAsia" w:ascii="宋体" w:hAnsi="宋体" w:cs="仿宋_GB2312"/>
          <w:sz w:val="24"/>
        </w:rPr>
        <w:t>特此证明。</w:t>
      </w:r>
    </w:p>
    <w:p w14:paraId="6AB35D23">
      <w:pPr>
        <w:spacing w:line="360" w:lineRule="auto"/>
        <w:ind w:firstLine="480" w:firstLineChars="200"/>
        <w:rPr>
          <w:rFonts w:ascii="宋体" w:hAnsi="宋体" w:cs="仿宋_GB2312"/>
          <w:sz w:val="24"/>
        </w:rPr>
      </w:pPr>
    </w:p>
    <w:p w14:paraId="485EC293">
      <w:pPr>
        <w:widowControl/>
        <w:spacing w:line="360" w:lineRule="auto"/>
        <w:rPr>
          <w:rFonts w:ascii="宋体" w:hAnsi="宋体"/>
        </w:rPr>
      </w:pPr>
    </w:p>
    <w:p w14:paraId="65134B3F">
      <w:pPr>
        <w:spacing w:line="360" w:lineRule="auto"/>
        <w:ind w:firstLine="480" w:firstLineChars="200"/>
        <w:rPr>
          <w:rFonts w:ascii="宋体" w:hAnsi="宋体" w:cs="仿宋_GB2312"/>
          <w:sz w:val="24"/>
        </w:rPr>
      </w:pPr>
      <w:r>
        <w:rPr>
          <w:rFonts w:hint="eastAsia" w:ascii="宋体" w:hAnsi="宋体" w:cs="仿宋_GB2312"/>
          <w:sz w:val="24"/>
        </w:rPr>
        <w:t>供应商名称：                    （盖章）</w:t>
      </w:r>
    </w:p>
    <w:p w14:paraId="22B4E4EE">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6AFCDCC7">
      <w:pPr>
        <w:rPr>
          <w:rFonts w:ascii="宋体" w:hAnsi="宋体" w:cs="Arial"/>
          <w:szCs w:val="21"/>
        </w:rPr>
      </w:pPr>
    </w:p>
    <w:tbl>
      <w:tblPr>
        <w:tblStyle w:val="13"/>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9F5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46467E3">
            <w:pPr>
              <w:rPr>
                <w:rFonts w:ascii="宋体" w:hAnsi="宋体" w:cs="Arial"/>
              </w:rPr>
            </w:pPr>
            <w:r>
              <w:rPr>
                <w:rFonts w:hint="eastAsia" w:ascii="宋体" w:hAnsi="宋体" w:cs="仿宋_GB2312"/>
                <w:sz w:val="24"/>
              </w:rPr>
              <w:t>附：法定代表人身份证复印件</w:t>
            </w:r>
          </w:p>
        </w:tc>
      </w:tr>
    </w:tbl>
    <w:p w14:paraId="226EF4D0">
      <w:pPr>
        <w:spacing w:line="360" w:lineRule="auto"/>
        <w:ind w:firstLine="735" w:firstLineChars="350"/>
        <w:jc w:val="center"/>
        <w:rPr>
          <w:rFonts w:ascii="宋体" w:hAnsi="宋体" w:cs="Arial"/>
        </w:rPr>
      </w:pPr>
    </w:p>
    <w:p w14:paraId="799ABDFF">
      <w:pPr>
        <w:rPr>
          <w:rFonts w:ascii="宋体" w:hAnsi="宋体"/>
        </w:rPr>
      </w:pPr>
      <w:r>
        <w:rPr>
          <w:rFonts w:ascii="宋体" w:hAnsi="宋体"/>
        </w:rPr>
        <w:br w:type="page"/>
      </w:r>
    </w:p>
    <w:p w14:paraId="6E0B873D">
      <w:pPr>
        <w:keepNext/>
        <w:keepLines/>
        <w:spacing w:line="360" w:lineRule="auto"/>
        <w:ind w:left="3747" w:hanging="3747" w:hangingChars="1333"/>
        <w:jc w:val="center"/>
        <w:outlineLvl w:val="1"/>
        <w:rPr>
          <w:rFonts w:ascii="宋体" w:hAnsi="宋体" w:cs="仿宋_GB2312"/>
          <w:b/>
          <w:sz w:val="28"/>
          <w:szCs w:val="28"/>
        </w:rPr>
      </w:pPr>
      <w:bookmarkStart w:id="49" w:name="_Toc56708577"/>
      <w:bookmarkStart w:id="50" w:name="_Toc168046953"/>
      <w:bookmarkStart w:id="51" w:name="_Toc109900013"/>
      <w:bookmarkStart w:id="52" w:name="_Toc109897495"/>
      <w:bookmarkStart w:id="53" w:name="_Toc109900432"/>
      <w:r>
        <w:rPr>
          <w:rFonts w:hint="eastAsia" w:ascii="宋体" w:hAnsi="宋体" w:cs="仿宋_GB2312"/>
          <w:b/>
          <w:sz w:val="28"/>
          <w:szCs w:val="28"/>
        </w:rPr>
        <w:t>（三）法定代表人授权书</w:t>
      </w:r>
      <w:bookmarkEnd w:id="49"/>
      <w:bookmarkEnd w:id="50"/>
      <w:bookmarkEnd w:id="51"/>
      <w:bookmarkEnd w:id="52"/>
      <w:bookmarkEnd w:id="53"/>
    </w:p>
    <w:p w14:paraId="24606713">
      <w:pPr>
        <w:spacing w:line="360" w:lineRule="auto"/>
        <w:rPr>
          <w:rFonts w:ascii="宋体" w:hAnsi="宋体" w:cs="Arial"/>
        </w:rPr>
      </w:pPr>
    </w:p>
    <w:p w14:paraId="3C7E6256">
      <w:pPr>
        <w:spacing w:line="360" w:lineRule="auto"/>
        <w:ind w:firstLine="480" w:firstLineChars="200"/>
        <w:rPr>
          <w:rFonts w:ascii="宋体" w:hAnsi="宋体" w:cs="仿宋_GB2312"/>
          <w:sz w:val="24"/>
        </w:rPr>
      </w:pPr>
      <w:r>
        <w:rPr>
          <w:rFonts w:hint="eastAsia" w:ascii="宋体" w:hAnsi="宋体" w:cs="仿宋_GB2312"/>
          <w:sz w:val="24"/>
        </w:rPr>
        <w:t>本人       （姓名）系            （供应商名称）的法定代表人，现委托        （姓名）为我方代理人。代理人根据授权，以我方名义签署、澄清、说明、补正、递交、撤回、修改           （项目名称）响应文件、签订合同和处理有关事宜，其法律后果由我方承担。</w:t>
      </w:r>
    </w:p>
    <w:p w14:paraId="470E4EC5">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297642C2">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0F2ACD34">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tbl>
      <w:tblPr>
        <w:tblStyle w:val="1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3"/>
        <w:gridCol w:w="4264"/>
      </w:tblGrid>
      <w:tr w14:paraId="1CB6D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trPr>
        <w:tc>
          <w:tcPr>
            <w:tcW w:w="4263" w:type="dxa"/>
          </w:tcPr>
          <w:p w14:paraId="0F4D89F5">
            <w:pPr>
              <w:spacing w:line="360" w:lineRule="auto"/>
              <w:rPr>
                <w:rFonts w:ascii="宋体" w:hAnsi="宋体" w:cs="仿宋_GB2312"/>
                <w:sz w:val="24"/>
              </w:rPr>
            </w:pPr>
          </w:p>
        </w:tc>
        <w:tc>
          <w:tcPr>
            <w:tcW w:w="4264" w:type="dxa"/>
          </w:tcPr>
          <w:p w14:paraId="722DEE54">
            <w:pPr>
              <w:spacing w:line="360" w:lineRule="auto"/>
              <w:rPr>
                <w:rFonts w:ascii="宋体" w:hAnsi="宋体" w:cs="仿宋_GB2312"/>
                <w:sz w:val="24"/>
              </w:rPr>
            </w:pPr>
          </w:p>
        </w:tc>
      </w:tr>
    </w:tbl>
    <w:p w14:paraId="5F001703">
      <w:pPr>
        <w:spacing w:line="360" w:lineRule="auto"/>
        <w:ind w:firstLine="480" w:firstLineChars="200"/>
        <w:rPr>
          <w:rFonts w:ascii="宋体" w:hAnsi="宋体" w:cs="仿宋_GB2312"/>
          <w:sz w:val="24"/>
        </w:rPr>
      </w:pPr>
    </w:p>
    <w:p w14:paraId="589678CC">
      <w:pPr>
        <w:spacing w:line="360" w:lineRule="auto"/>
        <w:ind w:firstLine="480" w:firstLineChars="200"/>
        <w:rPr>
          <w:rFonts w:ascii="宋体" w:hAnsi="宋体" w:cs="仿宋_GB2312"/>
          <w:sz w:val="24"/>
        </w:rPr>
      </w:pPr>
      <w:r>
        <w:rPr>
          <w:rFonts w:hint="eastAsia" w:ascii="宋体" w:hAnsi="宋体" w:cs="仿宋_GB2312"/>
          <w:sz w:val="24"/>
        </w:rPr>
        <w:t>供应商：                           （盖单位章）</w:t>
      </w:r>
    </w:p>
    <w:p w14:paraId="5C973672">
      <w:pPr>
        <w:spacing w:line="360" w:lineRule="auto"/>
        <w:ind w:firstLine="480" w:firstLineChars="200"/>
        <w:rPr>
          <w:rFonts w:ascii="宋体" w:hAnsi="宋体" w:cs="仿宋_GB2312"/>
          <w:sz w:val="24"/>
        </w:rPr>
      </w:pPr>
      <w:r>
        <w:rPr>
          <w:rFonts w:hint="eastAsia" w:ascii="宋体" w:hAnsi="宋体" w:cs="仿宋_GB2312"/>
          <w:sz w:val="24"/>
        </w:rPr>
        <w:t>法定代表人：                       （签字或盖章）</w:t>
      </w:r>
    </w:p>
    <w:p w14:paraId="07AD3AAB">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364F2434">
      <w:pPr>
        <w:spacing w:line="360" w:lineRule="auto"/>
        <w:ind w:firstLine="480" w:firstLineChars="200"/>
        <w:rPr>
          <w:rFonts w:ascii="宋体" w:hAnsi="宋体" w:cs="仿宋_GB2312"/>
          <w:sz w:val="24"/>
        </w:rPr>
      </w:pPr>
      <w:r>
        <w:rPr>
          <w:rFonts w:hint="eastAsia" w:ascii="宋体" w:hAnsi="宋体" w:cs="仿宋_GB2312"/>
          <w:sz w:val="24"/>
        </w:rPr>
        <w:t>委托代理人：                           （签字或盖章）</w:t>
      </w:r>
    </w:p>
    <w:p w14:paraId="7F5DA670">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p>
    <w:p w14:paraId="37DF6D9A">
      <w:pPr>
        <w:spacing w:line="360" w:lineRule="auto"/>
        <w:ind w:firstLine="480" w:firstLineChars="200"/>
        <w:rPr>
          <w:rFonts w:ascii="宋体" w:hAnsi="宋体" w:cs="仿宋_GB2312"/>
          <w:sz w:val="24"/>
        </w:rPr>
      </w:pPr>
      <w:r>
        <w:rPr>
          <w:rFonts w:hint="eastAsia" w:ascii="宋体" w:hAnsi="宋体" w:cs="仿宋_GB2312"/>
          <w:sz w:val="24"/>
        </w:rPr>
        <w:t>日      期：</w:t>
      </w:r>
    </w:p>
    <w:p w14:paraId="08B26C97">
      <w:pPr>
        <w:rPr>
          <w:rFonts w:hint="eastAsia" w:ascii="宋体" w:hAnsi="宋体" w:cs="Arial"/>
        </w:rPr>
      </w:pPr>
    </w:p>
    <w:tbl>
      <w:tblPr>
        <w:tblStyle w:val="13"/>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68EED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trPr>
        <w:tc>
          <w:tcPr>
            <w:tcW w:w="8301" w:type="dxa"/>
          </w:tcPr>
          <w:p w14:paraId="07727330">
            <w:pPr>
              <w:rPr>
                <w:rFonts w:ascii="宋体" w:hAnsi="宋体" w:cs="Arial"/>
              </w:rPr>
            </w:pPr>
            <w:r>
              <w:rPr>
                <w:rFonts w:hint="eastAsia" w:ascii="宋体" w:hAnsi="宋体" w:cs="仿宋_GB2312"/>
                <w:sz w:val="24"/>
              </w:rPr>
              <w:t>附：授权代表身份证复印件</w:t>
            </w:r>
          </w:p>
        </w:tc>
      </w:tr>
    </w:tbl>
    <w:p w14:paraId="4006AD74">
      <w:pPr>
        <w:rPr>
          <w:rFonts w:ascii="宋体" w:hAnsi="宋体"/>
        </w:rPr>
      </w:pPr>
      <w:r>
        <w:t>注</w:t>
      </w:r>
      <w:r>
        <w:rPr>
          <w:rFonts w:hint="eastAsia"/>
        </w:rPr>
        <w:t>：</w:t>
      </w:r>
      <w:r>
        <w:t>为方便查验需单独准备一份</w:t>
      </w:r>
      <w:r>
        <w:rPr>
          <w:rFonts w:hint="eastAsia"/>
        </w:rPr>
        <w:t>。</w:t>
      </w:r>
    </w:p>
    <w:p w14:paraId="3766BCBB"/>
    <w:p w14:paraId="46661960">
      <w:pPr>
        <w:pStyle w:val="3"/>
        <w:spacing w:before="120" w:beforeLines="50" w:after="120" w:afterLines="50" w:line="300" w:lineRule="auto"/>
        <w:jc w:val="center"/>
        <w:rPr>
          <w:rFonts w:ascii="宋体" w:hAnsi="宋体" w:eastAsia="宋体"/>
          <w:b w:val="0"/>
          <w:kern w:val="0"/>
        </w:rPr>
      </w:pPr>
      <w:bookmarkStart w:id="54" w:name="_Toc109897491"/>
      <w:bookmarkStart w:id="55" w:name="_Toc168046949"/>
      <w:bookmarkStart w:id="56" w:name="_Toc109900009"/>
      <w:bookmarkStart w:id="57" w:name="_Toc109900428"/>
      <w:r>
        <w:rPr>
          <w:rFonts w:hint="eastAsia" w:ascii="宋体" w:hAnsi="宋体" w:eastAsia="宋体" w:cs="仿宋_GB2312"/>
          <w:bCs w:val="0"/>
          <w:szCs w:val="21"/>
        </w:rPr>
        <w:t>评标导航表</w:t>
      </w:r>
      <w:bookmarkEnd w:id="54"/>
      <w:bookmarkEnd w:id="55"/>
      <w:bookmarkEnd w:id="56"/>
      <w:bookmarkEnd w:id="57"/>
    </w:p>
    <w:tbl>
      <w:tblPr>
        <w:tblStyle w:val="13"/>
        <w:tblW w:w="8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6"/>
        <w:gridCol w:w="938"/>
        <w:gridCol w:w="2796"/>
        <w:gridCol w:w="2173"/>
        <w:gridCol w:w="1122"/>
      </w:tblGrid>
      <w:tr w14:paraId="18C5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76" w:type="dxa"/>
            <w:shd w:val="clear" w:color="auto" w:fill="BFBFBF"/>
            <w:vAlign w:val="center"/>
          </w:tcPr>
          <w:p w14:paraId="3CB2FEB6">
            <w:pPr>
              <w:widowControl/>
              <w:snapToGrid w:val="0"/>
              <w:jc w:val="center"/>
              <w:rPr>
                <w:rFonts w:ascii="宋体" w:hAnsi="宋体"/>
                <w:b/>
                <w:bCs/>
                <w:szCs w:val="21"/>
              </w:rPr>
            </w:pPr>
            <w:r>
              <w:rPr>
                <w:rFonts w:hint="eastAsia" w:ascii="宋体" w:hAnsi="宋体"/>
                <w:b/>
                <w:bCs/>
                <w:szCs w:val="21"/>
              </w:rPr>
              <w:t>评审</w:t>
            </w:r>
          </w:p>
          <w:p w14:paraId="79F727F8">
            <w:pPr>
              <w:widowControl/>
              <w:snapToGrid w:val="0"/>
              <w:jc w:val="center"/>
              <w:rPr>
                <w:rFonts w:ascii="宋体" w:hAnsi="宋体"/>
                <w:b/>
                <w:bCs/>
                <w:szCs w:val="21"/>
              </w:rPr>
            </w:pPr>
            <w:r>
              <w:rPr>
                <w:rFonts w:hint="eastAsia" w:ascii="宋体" w:hAnsi="宋体"/>
                <w:b/>
                <w:bCs/>
                <w:szCs w:val="21"/>
              </w:rPr>
              <w:t>项目</w:t>
            </w:r>
          </w:p>
        </w:tc>
        <w:tc>
          <w:tcPr>
            <w:tcW w:w="816" w:type="dxa"/>
            <w:shd w:val="clear" w:color="auto" w:fill="BFBFBF"/>
            <w:vAlign w:val="center"/>
          </w:tcPr>
          <w:p w14:paraId="65728CD9">
            <w:pPr>
              <w:widowControl/>
              <w:snapToGrid w:val="0"/>
              <w:jc w:val="center"/>
              <w:rPr>
                <w:rFonts w:ascii="宋体" w:hAnsi="宋体"/>
                <w:b/>
                <w:bCs/>
                <w:szCs w:val="21"/>
              </w:rPr>
            </w:pPr>
            <w:r>
              <w:rPr>
                <w:rFonts w:hint="eastAsia" w:ascii="宋体" w:hAnsi="宋体"/>
                <w:b/>
                <w:bCs/>
                <w:szCs w:val="21"/>
              </w:rPr>
              <w:t>项目</w:t>
            </w:r>
          </w:p>
        </w:tc>
        <w:tc>
          <w:tcPr>
            <w:tcW w:w="938" w:type="dxa"/>
            <w:shd w:val="clear" w:color="auto" w:fill="BFBFBF"/>
            <w:vAlign w:val="center"/>
          </w:tcPr>
          <w:p w14:paraId="3F1CFE1A">
            <w:pPr>
              <w:widowControl/>
              <w:snapToGrid w:val="0"/>
              <w:jc w:val="center"/>
              <w:rPr>
                <w:rFonts w:ascii="宋体" w:hAnsi="宋体"/>
                <w:b/>
                <w:bCs/>
                <w:szCs w:val="21"/>
              </w:rPr>
            </w:pPr>
            <w:r>
              <w:rPr>
                <w:rFonts w:hint="eastAsia" w:ascii="宋体" w:hAnsi="宋体"/>
                <w:b/>
                <w:bCs/>
                <w:szCs w:val="21"/>
              </w:rPr>
              <w:t>分值</w:t>
            </w:r>
          </w:p>
        </w:tc>
        <w:tc>
          <w:tcPr>
            <w:tcW w:w="2796" w:type="dxa"/>
            <w:shd w:val="clear" w:color="auto" w:fill="BFBFBF"/>
            <w:vAlign w:val="center"/>
          </w:tcPr>
          <w:p w14:paraId="070FC022">
            <w:pPr>
              <w:widowControl/>
              <w:snapToGrid w:val="0"/>
              <w:jc w:val="center"/>
              <w:rPr>
                <w:rFonts w:ascii="宋体" w:hAnsi="宋体"/>
                <w:b/>
                <w:bCs/>
                <w:szCs w:val="21"/>
              </w:rPr>
            </w:pPr>
            <w:r>
              <w:rPr>
                <w:rFonts w:hint="eastAsia" w:ascii="宋体" w:hAnsi="宋体"/>
                <w:b/>
                <w:bCs/>
                <w:szCs w:val="21"/>
              </w:rPr>
              <w:t>评分标准</w:t>
            </w:r>
          </w:p>
        </w:tc>
        <w:tc>
          <w:tcPr>
            <w:tcW w:w="2173" w:type="dxa"/>
            <w:shd w:val="clear" w:color="auto" w:fill="BFBFBF"/>
            <w:vAlign w:val="center"/>
          </w:tcPr>
          <w:p w14:paraId="2334A28D">
            <w:pPr>
              <w:widowControl/>
              <w:snapToGrid w:val="0"/>
              <w:jc w:val="center"/>
              <w:rPr>
                <w:rFonts w:ascii="宋体" w:hAnsi="宋体"/>
                <w:b/>
                <w:bCs/>
                <w:szCs w:val="21"/>
              </w:rPr>
            </w:pPr>
            <w:r>
              <w:rPr>
                <w:rFonts w:hint="eastAsia" w:ascii="宋体" w:hAnsi="宋体"/>
                <w:b/>
                <w:bCs/>
                <w:szCs w:val="21"/>
              </w:rPr>
              <w:t>供应商响应</w:t>
            </w:r>
          </w:p>
        </w:tc>
        <w:tc>
          <w:tcPr>
            <w:tcW w:w="1122" w:type="dxa"/>
            <w:shd w:val="clear" w:color="auto" w:fill="BFBFBF"/>
            <w:vAlign w:val="center"/>
          </w:tcPr>
          <w:p w14:paraId="13DA7050">
            <w:pPr>
              <w:widowControl/>
              <w:snapToGrid w:val="0"/>
              <w:jc w:val="center"/>
              <w:rPr>
                <w:rFonts w:ascii="宋体" w:hAnsi="宋体"/>
                <w:b/>
                <w:bCs/>
                <w:szCs w:val="21"/>
              </w:rPr>
            </w:pPr>
            <w:r>
              <w:rPr>
                <w:rFonts w:hint="eastAsia" w:ascii="宋体" w:hAnsi="宋体"/>
                <w:b/>
                <w:bCs/>
                <w:szCs w:val="21"/>
              </w:rPr>
              <w:t>响应文件对应页码</w:t>
            </w:r>
          </w:p>
        </w:tc>
      </w:tr>
      <w:tr w14:paraId="3FAB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76" w:type="dxa"/>
            <w:vAlign w:val="center"/>
          </w:tcPr>
          <w:p w14:paraId="55D63CCA">
            <w:pPr>
              <w:snapToGrid w:val="0"/>
              <w:jc w:val="center"/>
              <w:rPr>
                <w:rFonts w:ascii="宋体" w:hAnsi="宋体"/>
                <w:b/>
                <w:bCs/>
                <w:szCs w:val="21"/>
              </w:rPr>
            </w:pPr>
            <w:r>
              <w:rPr>
                <w:rFonts w:hint="eastAsia" w:ascii="宋体" w:hAnsi="宋体"/>
                <w:b/>
                <w:bCs/>
                <w:szCs w:val="21"/>
              </w:rPr>
              <w:t>报价</w:t>
            </w:r>
          </w:p>
          <w:p w14:paraId="538FEA3D">
            <w:pPr>
              <w:snapToGrid w:val="0"/>
              <w:jc w:val="center"/>
              <w:rPr>
                <w:rFonts w:ascii="宋体" w:hAnsi="宋体"/>
                <w:b/>
                <w:bCs/>
                <w:color w:val="000000" w:themeColor="text1"/>
                <w:szCs w:val="21"/>
                <w14:textFill>
                  <w14:solidFill>
                    <w14:schemeClr w14:val="tx1"/>
                  </w14:solidFill>
                </w14:textFill>
              </w:rPr>
            </w:pPr>
            <w:r>
              <w:rPr>
                <w:rFonts w:hint="eastAsia" w:ascii="宋体" w:hAnsi="宋体"/>
                <w:b/>
                <w:bCs/>
                <w:szCs w:val="21"/>
              </w:rPr>
              <w:t>部分</w:t>
            </w:r>
          </w:p>
        </w:tc>
        <w:tc>
          <w:tcPr>
            <w:tcW w:w="816" w:type="dxa"/>
            <w:vAlign w:val="center"/>
          </w:tcPr>
          <w:p w14:paraId="438984CC">
            <w:pPr>
              <w:pStyle w:val="5"/>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938" w:type="dxa"/>
            <w:vAlign w:val="center"/>
          </w:tcPr>
          <w:p w14:paraId="05E2F745">
            <w:pPr>
              <w:pStyle w:val="5"/>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796" w:type="dxa"/>
            <w:vAlign w:val="center"/>
          </w:tcPr>
          <w:p w14:paraId="03BC8177">
            <w:pPr>
              <w:pStyle w:val="5"/>
              <w:widowControl/>
              <w:tabs>
                <w:tab w:val="left" w:pos="0"/>
              </w:tabs>
              <w:topLinePunct/>
              <w:snapToGrid w:val="0"/>
              <w:jc w:val="center"/>
              <w:rPr>
                <w:rFonts w:ascii="宋体" w:hAnsi="宋体"/>
                <w:bCs/>
                <w:color w:val="000000" w:themeColor="text1"/>
                <w:szCs w:val="21"/>
                <w14:textFill>
                  <w14:solidFill>
                    <w14:schemeClr w14:val="tx1"/>
                  </w14:solidFill>
                </w14:textFill>
              </w:rPr>
            </w:pPr>
          </w:p>
        </w:tc>
        <w:tc>
          <w:tcPr>
            <w:tcW w:w="2173" w:type="dxa"/>
            <w:vAlign w:val="center"/>
          </w:tcPr>
          <w:p w14:paraId="61F203F3">
            <w:pPr>
              <w:widowControl/>
              <w:snapToGrid w:val="0"/>
              <w:jc w:val="center"/>
              <w:rPr>
                <w:rFonts w:ascii="宋体" w:hAnsi="宋体"/>
                <w:b/>
                <w:bCs/>
                <w:szCs w:val="21"/>
              </w:rPr>
            </w:pPr>
          </w:p>
        </w:tc>
        <w:tc>
          <w:tcPr>
            <w:tcW w:w="1122" w:type="dxa"/>
            <w:vAlign w:val="center"/>
          </w:tcPr>
          <w:p w14:paraId="1A6BE2B5">
            <w:pPr>
              <w:widowControl/>
              <w:snapToGrid w:val="0"/>
              <w:jc w:val="center"/>
              <w:rPr>
                <w:rFonts w:ascii="宋体" w:hAnsi="宋体"/>
                <w:b/>
                <w:bCs/>
                <w:szCs w:val="21"/>
              </w:rPr>
            </w:pPr>
          </w:p>
        </w:tc>
      </w:tr>
      <w:tr w14:paraId="4EFD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638B1179">
            <w:pPr>
              <w:snapToGrid w:val="0"/>
              <w:jc w:val="center"/>
              <w:rPr>
                <w:rFonts w:ascii="宋体" w:hAnsi="宋体"/>
                <w:b/>
                <w:bCs/>
                <w:szCs w:val="21"/>
              </w:rPr>
            </w:pPr>
            <w:r>
              <w:rPr>
                <w:rFonts w:hint="eastAsia" w:ascii="宋体" w:hAnsi="宋体"/>
                <w:b/>
                <w:bCs/>
                <w:szCs w:val="21"/>
              </w:rPr>
              <w:t>商务</w:t>
            </w:r>
          </w:p>
          <w:p w14:paraId="30226A93">
            <w:pPr>
              <w:snapToGrid w:val="0"/>
              <w:jc w:val="center"/>
              <w:rPr>
                <w:rFonts w:ascii="宋体" w:hAnsi="宋体"/>
                <w:b/>
                <w:bCs/>
                <w:szCs w:val="21"/>
              </w:rPr>
            </w:pPr>
            <w:r>
              <w:rPr>
                <w:rFonts w:hint="eastAsia" w:ascii="宋体" w:hAnsi="宋体"/>
                <w:b/>
                <w:bCs/>
                <w:szCs w:val="21"/>
              </w:rPr>
              <w:t>部分</w:t>
            </w:r>
          </w:p>
        </w:tc>
        <w:tc>
          <w:tcPr>
            <w:tcW w:w="816" w:type="dxa"/>
            <w:vMerge w:val="restart"/>
            <w:vAlign w:val="center"/>
          </w:tcPr>
          <w:p w14:paraId="631CB970">
            <w:pPr>
              <w:pStyle w:val="5"/>
              <w:widowControl/>
              <w:tabs>
                <w:tab w:val="left" w:pos="0"/>
              </w:tabs>
              <w:topLinePunct/>
              <w:snapToGrid w:val="0"/>
              <w:jc w:val="center"/>
              <w:rPr>
                <w:rFonts w:ascii="宋体" w:hAnsi="宋体"/>
                <w:bCs/>
                <w:szCs w:val="21"/>
              </w:rPr>
            </w:pPr>
          </w:p>
        </w:tc>
        <w:tc>
          <w:tcPr>
            <w:tcW w:w="938" w:type="dxa"/>
            <w:vAlign w:val="center"/>
          </w:tcPr>
          <w:p w14:paraId="1FF3990F">
            <w:pPr>
              <w:pStyle w:val="5"/>
              <w:widowControl/>
              <w:tabs>
                <w:tab w:val="left" w:pos="0"/>
              </w:tabs>
              <w:topLinePunct/>
              <w:snapToGrid w:val="0"/>
              <w:jc w:val="center"/>
              <w:rPr>
                <w:rFonts w:ascii="宋体" w:hAnsi="宋体"/>
                <w:bCs/>
                <w:szCs w:val="21"/>
              </w:rPr>
            </w:pPr>
          </w:p>
        </w:tc>
        <w:tc>
          <w:tcPr>
            <w:tcW w:w="2796" w:type="dxa"/>
            <w:vAlign w:val="center"/>
          </w:tcPr>
          <w:p w14:paraId="5E87E4FE">
            <w:pPr>
              <w:pStyle w:val="5"/>
              <w:widowControl/>
              <w:tabs>
                <w:tab w:val="left" w:pos="0"/>
              </w:tabs>
              <w:topLinePunct/>
              <w:snapToGrid w:val="0"/>
              <w:jc w:val="center"/>
              <w:rPr>
                <w:rFonts w:ascii="宋体" w:hAnsi="宋体"/>
                <w:bCs/>
                <w:szCs w:val="21"/>
              </w:rPr>
            </w:pPr>
          </w:p>
        </w:tc>
        <w:tc>
          <w:tcPr>
            <w:tcW w:w="2173" w:type="dxa"/>
            <w:vAlign w:val="center"/>
          </w:tcPr>
          <w:p w14:paraId="0C3F9699">
            <w:pPr>
              <w:widowControl/>
              <w:snapToGrid w:val="0"/>
              <w:jc w:val="center"/>
              <w:rPr>
                <w:rFonts w:ascii="宋体" w:hAnsi="宋体"/>
                <w:bCs/>
                <w:szCs w:val="21"/>
              </w:rPr>
            </w:pPr>
          </w:p>
        </w:tc>
        <w:tc>
          <w:tcPr>
            <w:tcW w:w="1122" w:type="dxa"/>
            <w:vAlign w:val="center"/>
          </w:tcPr>
          <w:p w14:paraId="5AB290F7">
            <w:pPr>
              <w:widowControl/>
              <w:snapToGrid w:val="0"/>
              <w:jc w:val="center"/>
              <w:rPr>
                <w:rFonts w:ascii="宋体" w:hAnsi="宋体"/>
                <w:bCs/>
                <w:szCs w:val="21"/>
              </w:rPr>
            </w:pPr>
          </w:p>
        </w:tc>
      </w:tr>
      <w:tr w14:paraId="2C1E2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5184D972">
            <w:pPr>
              <w:snapToGrid w:val="0"/>
              <w:jc w:val="center"/>
              <w:rPr>
                <w:rFonts w:ascii="宋体" w:hAnsi="宋体"/>
                <w:b/>
                <w:szCs w:val="21"/>
              </w:rPr>
            </w:pPr>
          </w:p>
        </w:tc>
        <w:tc>
          <w:tcPr>
            <w:tcW w:w="816" w:type="dxa"/>
            <w:vMerge w:val="continue"/>
            <w:vAlign w:val="center"/>
          </w:tcPr>
          <w:p w14:paraId="0F09677B">
            <w:pPr>
              <w:pStyle w:val="5"/>
              <w:widowControl/>
              <w:tabs>
                <w:tab w:val="left" w:pos="0"/>
              </w:tabs>
              <w:topLinePunct/>
              <w:snapToGrid w:val="0"/>
              <w:jc w:val="center"/>
              <w:rPr>
                <w:rFonts w:ascii="宋体" w:hAnsi="宋体"/>
                <w:bCs/>
                <w:szCs w:val="21"/>
              </w:rPr>
            </w:pPr>
          </w:p>
        </w:tc>
        <w:tc>
          <w:tcPr>
            <w:tcW w:w="938" w:type="dxa"/>
            <w:vAlign w:val="center"/>
          </w:tcPr>
          <w:p w14:paraId="4028DBF3">
            <w:pPr>
              <w:pStyle w:val="5"/>
              <w:widowControl/>
              <w:tabs>
                <w:tab w:val="left" w:pos="0"/>
              </w:tabs>
              <w:topLinePunct/>
              <w:snapToGrid w:val="0"/>
              <w:jc w:val="center"/>
              <w:rPr>
                <w:rFonts w:ascii="宋体" w:hAnsi="宋体"/>
                <w:bCs/>
                <w:szCs w:val="21"/>
              </w:rPr>
            </w:pPr>
          </w:p>
        </w:tc>
        <w:tc>
          <w:tcPr>
            <w:tcW w:w="2796" w:type="dxa"/>
            <w:vAlign w:val="center"/>
          </w:tcPr>
          <w:p w14:paraId="3A047631">
            <w:pPr>
              <w:pStyle w:val="5"/>
              <w:widowControl/>
              <w:tabs>
                <w:tab w:val="left" w:pos="0"/>
              </w:tabs>
              <w:topLinePunct/>
              <w:snapToGrid w:val="0"/>
              <w:jc w:val="center"/>
              <w:rPr>
                <w:rFonts w:ascii="宋体" w:hAnsi="宋体"/>
                <w:bCs/>
                <w:szCs w:val="21"/>
              </w:rPr>
            </w:pPr>
          </w:p>
        </w:tc>
        <w:tc>
          <w:tcPr>
            <w:tcW w:w="2173" w:type="dxa"/>
            <w:vAlign w:val="center"/>
          </w:tcPr>
          <w:p w14:paraId="5E07B4BE">
            <w:pPr>
              <w:widowControl/>
              <w:snapToGrid w:val="0"/>
              <w:jc w:val="center"/>
              <w:rPr>
                <w:rFonts w:ascii="宋体" w:hAnsi="宋体"/>
                <w:bCs/>
                <w:szCs w:val="21"/>
              </w:rPr>
            </w:pPr>
          </w:p>
        </w:tc>
        <w:tc>
          <w:tcPr>
            <w:tcW w:w="1122" w:type="dxa"/>
            <w:vAlign w:val="center"/>
          </w:tcPr>
          <w:p w14:paraId="77EE3CFD">
            <w:pPr>
              <w:widowControl/>
              <w:snapToGrid w:val="0"/>
              <w:jc w:val="center"/>
              <w:rPr>
                <w:rFonts w:ascii="宋体" w:hAnsi="宋体"/>
                <w:bCs/>
                <w:szCs w:val="21"/>
              </w:rPr>
            </w:pPr>
          </w:p>
        </w:tc>
      </w:tr>
      <w:tr w14:paraId="17F8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68A2AC9B">
            <w:pPr>
              <w:snapToGrid w:val="0"/>
              <w:jc w:val="center"/>
              <w:rPr>
                <w:rFonts w:ascii="宋体" w:hAnsi="宋体"/>
                <w:b/>
                <w:szCs w:val="21"/>
              </w:rPr>
            </w:pPr>
          </w:p>
        </w:tc>
        <w:tc>
          <w:tcPr>
            <w:tcW w:w="816" w:type="dxa"/>
            <w:vMerge w:val="continue"/>
            <w:vAlign w:val="center"/>
          </w:tcPr>
          <w:p w14:paraId="1B862575">
            <w:pPr>
              <w:pStyle w:val="5"/>
              <w:widowControl/>
              <w:tabs>
                <w:tab w:val="left" w:pos="0"/>
              </w:tabs>
              <w:topLinePunct/>
              <w:snapToGrid w:val="0"/>
              <w:jc w:val="center"/>
              <w:rPr>
                <w:rFonts w:ascii="宋体" w:hAnsi="宋体"/>
                <w:bCs/>
                <w:szCs w:val="21"/>
              </w:rPr>
            </w:pPr>
          </w:p>
        </w:tc>
        <w:tc>
          <w:tcPr>
            <w:tcW w:w="938" w:type="dxa"/>
            <w:vAlign w:val="center"/>
          </w:tcPr>
          <w:p w14:paraId="6CC77457">
            <w:pPr>
              <w:pStyle w:val="5"/>
              <w:widowControl/>
              <w:tabs>
                <w:tab w:val="left" w:pos="0"/>
              </w:tabs>
              <w:topLinePunct/>
              <w:snapToGrid w:val="0"/>
              <w:jc w:val="center"/>
              <w:rPr>
                <w:rFonts w:ascii="宋体" w:hAnsi="宋体"/>
                <w:bCs/>
                <w:szCs w:val="21"/>
              </w:rPr>
            </w:pPr>
          </w:p>
        </w:tc>
        <w:tc>
          <w:tcPr>
            <w:tcW w:w="2796" w:type="dxa"/>
            <w:vAlign w:val="center"/>
          </w:tcPr>
          <w:p w14:paraId="6C87E35E">
            <w:pPr>
              <w:pStyle w:val="5"/>
              <w:widowControl/>
              <w:tabs>
                <w:tab w:val="left" w:pos="0"/>
              </w:tabs>
              <w:topLinePunct/>
              <w:snapToGrid w:val="0"/>
              <w:jc w:val="center"/>
              <w:rPr>
                <w:rFonts w:ascii="宋体" w:hAnsi="宋体"/>
                <w:bCs/>
                <w:szCs w:val="21"/>
              </w:rPr>
            </w:pPr>
          </w:p>
        </w:tc>
        <w:tc>
          <w:tcPr>
            <w:tcW w:w="2173" w:type="dxa"/>
            <w:vAlign w:val="center"/>
          </w:tcPr>
          <w:p w14:paraId="089191AA">
            <w:pPr>
              <w:widowControl/>
              <w:snapToGrid w:val="0"/>
              <w:jc w:val="center"/>
              <w:rPr>
                <w:rFonts w:ascii="宋体" w:hAnsi="宋体"/>
                <w:bCs/>
                <w:szCs w:val="21"/>
              </w:rPr>
            </w:pPr>
          </w:p>
        </w:tc>
        <w:tc>
          <w:tcPr>
            <w:tcW w:w="1122" w:type="dxa"/>
            <w:vAlign w:val="center"/>
          </w:tcPr>
          <w:p w14:paraId="5984181C">
            <w:pPr>
              <w:widowControl/>
              <w:snapToGrid w:val="0"/>
              <w:jc w:val="center"/>
              <w:rPr>
                <w:rFonts w:ascii="宋体" w:hAnsi="宋体"/>
                <w:bCs/>
                <w:szCs w:val="21"/>
              </w:rPr>
            </w:pPr>
          </w:p>
        </w:tc>
      </w:tr>
      <w:tr w14:paraId="2C37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21E2B9E1">
            <w:pPr>
              <w:snapToGrid w:val="0"/>
              <w:jc w:val="center"/>
              <w:rPr>
                <w:rFonts w:ascii="宋体" w:hAnsi="宋体"/>
                <w:b/>
                <w:szCs w:val="21"/>
              </w:rPr>
            </w:pPr>
          </w:p>
        </w:tc>
        <w:tc>
          <w:tcPr>
            <w:tcW w:w="816" w:type="dxa"/>
            <w:vMerge w:val="continue"/>
            <w:vAlign w:val="center"/>
          </w:tcPr>
          <w:p w14:paraId="416E24F1">
            <w:pPr>
              <w:pStyle w:val="5"/>
              <w:widowControl/>
              <w:tabs>
                <w:tab w:val="left" w:pos="0"/>
              </w:tabs>
              <w:topLinePunct/>
              <w:snapToGrid w:val="0"/>
              <w:jc w:val="center"/>
              <w:rPr>
                <w:rFonts w:ascii="宋体" w:hAnsi="宋体"/>
                <w:bCs/>
                <w:szCs w:val="21"/>
              </w:rPr>
            </w:pPr>
          </w:p>
        </w:tc>
        <w:tc>
          <w:tcPr>
            <w:tcW w:w="938" w:type="dxa"/>
            <w:vAlign w:val="center"/>
          </w:tcPr>
          <w:p w14:paraId="6ECC9E23">
            <w:pPr>
              <w:pStyle w:val="5"/>
              <w:widowControl/>
              <w:tabs>
                <w:tab w:val="left" w:pos="0"/>
              </w:tabs>
              <w:topLinePunct/>
              <w:snapToGrid w:val="0"/>
              <w:jc w:val="center"/>
              <w:rPr>
                <w:rFonts w:ascii="宋体" w:hAnsi="宋体"/>
                <w:bCs/>
                <w:szCs w:val="21"/>
              </w:rPr>
            </w:pPr>
          </w:p>
        </w:tc>
        <w:tc>
          <w:tcPr>
            <w:tcW w:w="2796" w:type="dxa"/>
            <w:vAlign w:val="center"/>
          </w:tcPr>
          <w:p w14:paraId="7D7FDA69">
            <w:pPr>
              <w:pStyle w:val="5"/>
              <w:widowControl/>
              <w:tabs>
                <w:tab w:val="left" w:pos="0"/>
              </w:tabs>
              <w:topLinePunct/>
              <w:snapToGrid w:val="0"/>
              <w:jc w:val="center"/>
              <w:rPr>
                <w:rFonts w:ascii="宋体" w:hAnsi="宋体"/>
                <w:bCs/>
                <w:szCs w:val="21"/>
              </w:rPr>
            </w:pPr>
          </w:p>
        </w:tc>
        <w:tc>
          <w:tcPr>
            <w:tcW w:w="2173" w:type="dxa"/>
            <w:vAlign w:val="center"/>
          </w:tcPr>
          <w:p w14:paraId="5214450D">
            <w:pPr>
              <w:widowControl/>
              <w:snapToGrid w:val="0"/>
              <w:jc w:val="center"/>
              <w:rPr>
                <w:rFonts w:ascii="宋体" w:hAnsi="宋体"/>
                <w:bCs/>
                <w:szCs w:val="21"/>
              </w:rPr>
            </w:pPr>
          </w:p>
        </w:tc>
        <w:tc>
          <w:tcPr>
            <w:tcW w:w="1122" w:type="dxa"/>
            <w:vAlign w:val="center"/>
          </w:tcPr>
          <w:p w14:paraId="1C332DDF">
            <w:pPr>
              <w:widowControl/>
              <w:snapToGrid w:val="0"/>
              <w:jc w:val="center"/>
              <w:rPr>
                <w:rFonts w:ascii="宋体" w:hAnsi="宋体"/>
                <w:bCs/>
                <w:szCs w:val="21"/>
              </w:rPr>
            </w:pPr>
          </w:p>
        </w:tc>
      </w:tr>
      <w:tr w14:paraId="7C783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4281D3DB">
            <w:pPr>
              <w:snapToGrid w:val="0"/>
              <w:jc w:val="center"/>
              <w:rPr>
                <w:rFonts w:ascii="宋体" w:hAnsi="宋体"/>
                <w:b/>
                <w:szCs w:val="21"/>
              </w:rPr>
            </w:pPr>
          </w:p>
        </w:tc>
        <w:tc>
          <w:tcPr>
            <w:tcW w:w="816" w:type="dxa"/>
            <w:vMerge w:val="continue"/>
            <w:vAlign w:val="center"/>
          </w:tcPr>
          <w:p w14:paraId="104CCE08">
            <w:pPr>
              <w:pStyle w:val="5"/>
              <w:widowControl/>
              <w:tabs>
                <w:tab w:val="left" w:pos="0"/>
              </w:tabs>
              <w:topLinePunct/>
              <w:snapToGrid w:val="0"/>
              <w:jc w:val="center"/>
              <w:rPr>
                <w:rFonts w:ascii="宋体" w:hAnsi="宋体"/>
                <w:bCs/>
                <w:szCs w:val="21"/>
              </w:rPr>
            </w:pPr>
          </w:p>
        </w:tc>
        <w:tc>
          <w:tcPr>
            <w:tcW w:w="938" w:type="dxa"/>
            <w:vAlign w:val="center"/>
          </w:tcPr>
          <w:p w14:paraId="2239A6FB">
            <w:pPr>
              <w:pStyle w:val="5"/>
              <w:widowControl/>
              <w:tabs>
                <w:tab w:val="left" w:pos="0"/>
              </w:tabs>
              <w:topLinePunct/>
              <w:snapToGrid w:val="0"/>
              <w:jc w:val="center"/>
              <w:rPr>
                <w:rFonts w:ascii="宋体" w:hAnsi="宋体"/>
                <w:bCs/>
                <w:szCs w:val="21"/>
              </w:rPr>
            </w:pPr>
          </w:p>
        </w:tc>
        <w:tc>
          <w:tcPr>
            <w:tcW w:w="2796" w:type="dxa"/>
            <w:vAlign w:val="center"/>
          </w:tcPr>
          <w:p w14:paraId="02E00E3F">
            <w:pPr>
              <w:pStyle w:val="5"/>
              <w:widowControl/>
              <w:tabs>
                <w:tab w:val="left" w:pos="0"/>
              </w:tabs>
              <w:topLinePunct/>
              <w:snapToGrid w:val="0"/>
              <w:jc w:val="center"/>
              <w:rPr>
                <w:rFonts w:ascii="宋体" w:hAnsi="宋体"/>
                <w:bCs/>
                <w:szCs w:val="21"/>
              </w:rPr>
            </w:pPr>
          </w:p>
        </w:tc>
        <w:tc>
          <w:tcPr>
            <w:tcW w:w="2173" w:type="dxa"/>
            <w:vAlign w:val="center"/>
          </w:tcPr>
          <w:p w14:paraId="2B6410E8">
            <w:pPr>
              <w:widowControl/>
              <w:snapToGrid w:val="0"/>
              <w:jc w:val="center"/>
              <w:rPr>
                <w:rFonts w:ascii="宋体" w:hAnsi="宋体"/>
                <w:bCs/>
                <w:szCs w:val="21"/>
              </w:rPr>
            </w:pPr>
          </w:p>
        </w:tc>
        <w:tc>
          <w:tcPr>
            <w:tcW w:w="1122" w:type="dxa"/>
            <w:vAlign w:val="center"/>
          </w:tcPr>
          <w:p w14:paraId="3FB88CBB">
            <w:pPr>
              <w:widowControl/>
              <w:snapToGrid w:val="0"/>
              <w:jc w:val="center"/>
              <w:rPr>
                <w:rFonts w:ascii="宋体" w:hAnsi="宋体"/>
                <w:b/>
                <w:bCs/>
                <w:szCs w:val="21"/>
              </w:rPr>
            </w:pPr>
          </w:p>
        </w:tc>
      </w:tr>
      <w:tr w14:paraId="19BE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restart"/>
            <w:vAlign w:val="center"/>
          </w:tcPr>
          <w:p w14:paraId="41DB272C">
            <w:pPr>
              <w:widowControl/>
              <w:snapToGrid w:val="0"/>
              <w:jc w:val="center"/>
              <w:rPr>
                <w:rFonts w:ascii="宋体" w:hAnsi="宋体"/>
                <w:b/>
                <w:szCs w:val="21"/>
              </w:rPr>
            </w:pPr>
            <w:r>
              <w:rPr>
                <w:rFonts w:hint="eastAsia" w:ascii="宋体" w:hAnsi="宋体"/>
                <w:b/>
                <w:szCs w:val="21"/>
              </w:rPr>
              <w:t>技术</w:t>
            </w:r>
          </w:p>
          <w:p w14:paraId="5312FBB6">
            <w:pPr>
              <w:widowControl/>
              <w:snapToGrid w:val="0"/>
              <w:jc w:val="center"/>
              <w:rPr>
                <w:rFonts w:ascii="宋体" w:hAnsi="宋体"/>
                <w:b/>
                <w:szCs w:val="21"/>
              </w:rPr>
            </w:pPr>
            <w:r>
              <w:rPr>
                <w:rFonts w:hint="eastAsia" w:ascii="宋体" w:hAnsi="宋体"/>
                <w:b/>
                <w:szCs w:val="21"/>
              </w:rPr>
              <w:t>部分</w:t>
            </w:r>
          </w:p>
        </w:tc>
        <w:tc>
          <w:tcPr>
            <w:tcW w:w="816" w:type="dxa"/>
            <w:vMerge w:val="restart"/>
            <w:vAlign w:val="center"/>
          </w:tcPr>
          <w:p w14:paraId="4B15D055">
            <w:pPr>
              <w:widowControl/>
              <w:snapToGrid w:val="0"/>
              <w:jc w:val="center"/>
              <w:rPr>
                <w:rFonts w:ascii="宋体" w:hAnsi="宋体"/>
                <w:szCs w:val="21"/>
              </w:rPr>
            </w:pPr>
          </w:p>
        </w:tc>
        <w:tc>
          <w:tcPr>
            <w:tcW w:w="938" w:type="dxa"/>
            <w:vAlign w:val="center"/>
          </w:tcPr>
          <w:p w14:paraId="63CBE424">
            <w:pPr>
              <w:widowControl/>
              <w:snapToGrid w:val="0"/>
              <w:jc w:val="center"/>
              <w:rPr>
                <w:rFonts w:ascii="宋体" w:hAnsi="宋体"/>
                <w:szCs w:val="21"/>
              </w:rPr>
            </w:pPr>
          </w:p>
        </w:tc>
        <w:tc>
          <w:tcPr>
            <w:tcW w:w="2796" w:type="dxa"/>
            <w:vAlign w:val="center"/>
          </w:tcPr>
          <w:p w14:paraId="6A286A87">
            <w:pPr>
              <w:pStyle w:val="5"/>
              <w:widowControl/>
              <w:tabs>
                <w:tab w:val="left" w:pos="0"/>
              </w:tabs>
              <w:topLinePunct/>
              <w:snapToGrid w:val="0"/>
              <w:jc w:val="center"/>
              <w:rPr>
                <w:rFonts w:ascii="宋体" w:hAnsi="宋体"/>
                <w:bCs/>
                <w:szCs w:val="21"/>
              </w:rPr>
            </w:pPr>
          </w:p>
        </w:tc>
        <w:tc>
          <w:tcPr>
            <w:tcW w:w="2173" w:type="dxa"/>
            <w:vAlign w:val="center"/>
          </w:tcPr>
          <w:p w14:paraId="3F785273">
            <w:pPr>
              <w:pStyle w:val="5"/>
              <w:widowControl/>
              <w:tabs>
                <w:tab w:val="left" w:pos="0"/>
              </w:tabs>
              <w:topLinePunct/>
              <w:snapToGrid w:val="0"/>
              <w:jc w:val="center"/>
              <w:rPr>
                <w:rFonts w:ascii="宋体" w:hAnsi="宋体"/>
                <w:bCs/>
                <w:szCs w:val="21"/>
              </w:rPr>
            </w:pPr>
          </w:p>
        </w:tc>
        <w:tc>
          <w:tcPr>
            <w:tcW w:w="1122" w:type="dxa"/>
            <w:vAlign w:val="center"/>
          </w:tcPr>
          <w:p w14:paraId="31C7229B">
            <w:pPr>
              <w:pStyle w:val="5"/>
              <w:widowControl/>
              <w:tabs>
                <w:tab w:val="left" w:pos="0"/>
              </w:tabs>
              <w:topLinePunct/>
              <w:snapToGrid w:val="0"/>
              <w:jc w:val="center"/>
              <w:rPr>
                <w:rFonts w:ascii="宋体" w:hAnsi="宋体"/>
                <w:bCs/>
                <w:szCs w:val="21"/>
              </w:rPr>
            </w:pPr>
          </w:p>
        </w:tc>
      </w:tr>
      <w:tr w14:paraId="1BC4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01E10E74">
            <w:pPr>
              <w:widowControl/>
              <w:snapToGrid w:val="0"/>
              <w:jc w:val="center"/>
              <w:rPr>
                <w:rFonts w:ascii="宋体" w:hAnsi="宋体"/>
                <w:b/>
                <w:szCs w:val="21"/>
              </w:rPr>
            </w:pPr>
          </w:p>
        </w:tc>
        <w:tc>
          <w:tcPr>
            <w:tcW w:w="816" w:type="dxa"/>
            <w:vMerge w:val="continue"/>
            <w:vAlign w:val="center"/>
          </w:tcPr>
          <w:p w14:paraId="75CC4CE5">
            <w:pPr>
              <w:widowControl/>
              <w:snapToGrid w:val="0"/>
              <w:jc w:val="center"/>
              <w:rPr>
                <w:rFonts w:ascii="宋体" w:hAnsi="宋体"/>
                <w:szCs w:val="21"/>
              </w:rPr>
            </w:pPr>
          </w:p>
        </w:tc>
        <w:tc>
          <w:tcPr>
            <w:tcW w:w="938" w:type="dxa"/>
            <w:vAlign w:val="center"/>
          </w:tcPr>
          <w:p w14:paraId="7D8D3922">
            <w:pPr>
              <w:widowControl/>
              <w:snapToGrid w:val="0"/>
              <w:jc w:val="center"/>
              <w:rPr>
                <w:rFonts w:ascii="宋体" w:hAnsi="宋体"/>
                <w:szCs w:val="21"/>
              </w:rPr>
            </w:pPr>
          </w:p>
        </w:tc>
        <w:tc>
          <w:tcPr>
            <w:tcW w:w="2796" w:type="dxa"/>
            <w:vAlign w:val="center"/>
          </w:tcPr>
          <w:p w14:paraId="3C29F8FB">
            <w:pPr>
              <w:pStyle w:val="5"/>
              <w:widowControl/>
              <w:tabs>
                <w:tab w:val="left" w:pos="0"/>
              </w:tabs>
              <w:topLinePunct/>
              <w:snapToGrid w:val="0"/>
              <w:jc w:val="center"/>
              <w:rPr>
                <w:rFonts w:ascii="宋体" w:hAnsi="宋体"/>
                <w:bCs/>
                <w:szCs w:val="21"/>
              </w:rPr>
            </w:pPr>
          </w:p>
        </w:tc>
        <w:tc>
          <w:tcPr>
            <w:tcW w:w="2173" w:type="dxa"/>
            <w:vAlign w:val="center"/>
          </w:tcPr>
          <w:p w14:paraId="19887C76">
            <w:pPr>
              <w:pStyle w:val="5"/>
              <w:widowControl/>
              <w:tabs>
                <w:tab w:val="left" w:pos="0"/>
              </w:tabs>
              <w:topLinePunct/>
              <w:snapToGrid w:val="0"/>
              <w:jc w:val="center"/>
              <w:rPr>
                <w:rFonts w:ascii="宋体" w:hAnsi="宋体"/>
                <w:bCs/>
                <w:szCs w:val="21"/>
              </w:rPr>
            </w:pPr>
          </w:p>
        </w:tc>
        <w:tc>
          <w:tcPr>
            <w:tcW w:w="1122" w:type="dxa"/>
            <w:vAlign w:val="center"/>
          </w:tcPr>
          <w:p w14:paraId="748E1BB7">
            <w:pPr>
              <w:pStyle w:val="5"/>
              <w:widowControl/>
              <w:tabs>
                <w:tab w:val="left" w:pos="0"/>
              </w:tabs>
              <w:topLinePunct/>
              <w:snapToGrid w:val="0"/>
              <w:jc w:val="center"/>
              <w:rPr>
                <w:rFonts w:ascii="宋体" w:hAnsi="宋体"/>
                <w:bCs/>
                <w:szCs w:val="21"/>
              </w:rPr>
            </w:pPr>
          </w:p>
        </w:tc>
      </w:tr>
      <w:tr w14:paraId="62F0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150241E2">
            <w:pPr>
              <w:widowControl/>
              <w:snapToGrid w:val="0"/>
              <w:jc w:val="center"/>
              <w:rPr>
                <w:rFonts w:ascii="宋体" w:hAnsi="宋体"/>
                <w:b/>
                <w:szCs w:val="21"/>
              </w:rPr>
            </w:pPr>
          </w:p>
        </w:tc>
        <w:tc>
          <w:tcPr>
            <w:tcW w:w="816" w:type="dxa"/>
            <w:vMerge w:val="continue"/>
            <w:vAlign w:val="center"/>
          </w:tcPr>
          <w:p w14:paraId="5DAB5F02">
            <w:pPr>
              <w:widowControl/>
              <w:snapToGrid w:val="0"/>
              <w:jc w:val="center"/>
              <w:rPr>
                <w:rFonts w:ascii="宋体" w:hAnsi="宋体"/>
                <w:szCs w:val="21"/>
              </w:rPr>
            </w:pPr>
          </w:p>
        </w:tc>
        <w:tc>
          <w:tcPr>
            <w:tcW w:w="938" w:type="dxa"/>
            <w:vAlign w:val="center"/>
          </w:tcPr>
          <w:p w14:paraId="77F581C7">
            <w:pPr>
              <w:widowControl/>
              <w:snapToGrid w:val="0"/>
              <w:jc w:val="center"/>
              <w:rPr>
                <w:rFonts w:ascii="宋体" w:hAnsi="宋体"/>
                <w:szCs w:val="21"/>
              </w:rPr>
            </w:pPr>
          </w:p>
        </w:tc>
        <w:tc>
          <w:tcPr>
            <w:tcW w:w="2796" w:type="dxa"/>
            <w:vAlign w:val="center"/>
          </w:tcPr>
          <w:p w14:paraId="5794CC44">
            <w:pPr>
              <w:pStyle w:val="5"/>
              <w:widowControl/>
              <w:tabs>
                <w:tab w:val="left" w:pos="0"/>
              </w:tabs>
              <w:topLinePunct/>
              <w:snapToGrid w:val="0"/>
              <w:jc w:val="center"/>
              <w:rPr>
                <w:rFonts w:ascii="宋体" w:hAnsi="宋体"/>
                <w:bCs/>
                <w:szCs w:val="21"/>
              </w:rPr>
            </w:pPr>
          </w:p>
        </w:tc>
        <w:tc>
          <w:tcPr>
            <w:tcW w:w="2173" w:type="dxa"/>
            <w:vAlign w:val="center"/>
          </w:tcPr>
          <w:p w14:paraId="0D2E8272">
            <w:pPr>
              <w:pStyle w:val="5"/>
              <w:widowControl/>
              <w:tabs>
                <w:tab w:val="left" w:pos="0"/>
              </w:tabs>
              <w:topLinePunct/>
              <w:snapToGrid w:val="0"/>
              <w:jc w:val="center"/>
              <w:rPr>
                <w:rFonts w:ascii="宋体" w:hAnsi="宋体"/>
                <w:bCs/>
                <w:szCs w:val="21"/>
              </w:rPr>
            </w:pPr>
          </w:p>
        </w:tc>
        <w:tc>
          <w:tcPr>
            <w:tcW w:w="1122" w:type="dxa"/>
            <w:vAlign w:val="center"/>
          </w:tcPr>
          <w:p w14:paraId="2B7BE487">
            <w:pPr>
              <w:pStyle w:val="5"/>
              <w:widowControl/>
              <w:tabs>
                <w:tab w:val="left" w:pos="0"/>
              </w:tabs>
              <w:topLinePunct/>
              <w:snapToGrid w:val="0"/>
              <w:jc w:val="center"/>
              <w:rPr>
                <w:rFonts w:ascii="宋体" w:hAnsi="宋体"/>
                <w:bCs/>
                <w:szCs w:val="21"/>
              </w:rPr>
            </w:pPr>
          </w:p>
        </w:tc>
      </w:tr>
      <w:tr w14:paraId="01DC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Merge w:val="continue"/>
            <w:vAlign w:val="center"/>
          </w:tcPr>
          <w:p w14:paraId="54D30120">
            <w:pPr>
              <w:widowControl/>
              <w:snapToGrid w:val="0"/>
              <w:jc w:val="center"/>
              <w:rPr>
                <w:rFonts w:ascii="宋体" w:hAnsi="宋体"/>
                <w:b/>
                <w:szCs w:val="21"/>
              </w:rPr>
            </w:pPr>
          </w:p>
        </w:tc>
        <w:tc>
          <w:tcPr>
            <w:tcW w:w="816" w:type="dxa"/>
            <w:vMerge w:val="continue"/>
            <w:vAlign w:val="center"/>
          </w:tcPr>
          <w:p w14:paraId="32E13C99">
            <w:pPr>
              <w:widowControl/>
              <w:snapToGrid w:val="0"/>
              <w:jc w:val="center"/>
              <w:rPr>
                <w:rFonts w:ascii="宋体" w:hAnsi="宋体"/>
                <w:szCs w:val="21"/>
              </w:rPr>
            </w:pPr>
          </w:p>
        </w:tc>
        <w:tc>
          <w:tcPr>
            <w:tcW w:w="938" w:type="dxa"/>
            <w:vAlign w:val="center"/>
          </w:tcPr>
          <w:p w14:paraId="1B5BD6E0">
            <w:pPr>
              <w:widowControl/>
              <w:snapToGrid w:val="0"/>
              <w:jc w:val="center"/>
              <w:rPr>
                <w:rFonts w:ascii="宋体" w:hAnsi="宋体"/>
                <w:szCs w:val="21"/>
              </w:rPr>
            </w:pPr>
          </w:p>
        </w:tc>
        <w:tc>
          <w:tcPr>
            <w:tcW w:w="2796" w:type="dxa"/>
            <w:vAlign w:val="center"/>
          </w:tcPr>
          <w:p w14:paraId="6A79B0E0">
            <w:pPr>
              <w:pStyle w:val="5"/>
              <w:widowControl/>
              <w:tabs>
                <w:tab w:val="left" w:pos="0"/>
              </w:tabs>
              <w:topLinePunct/>
              <w:snapToGrid w:val="0"/>
              <w:jc w:val="center"/>
              <w:rPr>
                <w:rFonts w:ascii="宋体" w:hAnsi="宋体"/>
                <w:bCs/>
                <w:szCs w:val="21"/>
              </w:rPr>
            </w:pPr>
          </w:p>
        </w:tc>
        <w:tc>
          <w:tcPr>
            <w:tcW w:w="2173" w:type="dxa"/>
            <w:vAlign w:val="center"/>
          </w:tcPr>
          <w:p w14:paraId="0AE2EE3E">
            <w:pPr>
              <w:pStyle w:val="5"/>
              <w:widowControl/>
              <w:tabs>
                <w:tab w:val="left" w:pos="0"/>
              </w:tabs>
              <w:topLinePunct/>
              <w:snapToGrid w:val="0"/>
              <w:jc w:val="center"/>
              <w:rPr>
                <w:rFonts w:ascii="宋体" w:hAnsi="宋体"/>
                <w:bCs/>
                <w:szCs w:val="21"/>
              </w:rPr>
            </w:pPr>
          </w:p>
        </w:tc>
        <w:tc>
          <w:tcPr>
            <w:tcW w:w="1122" w:type="dxa"/>
            <w:vAlign w:val="center"/>
          </w:tcPr>
          <w:p w14:paraId="086DF879">
            <w:pPr>
              <w:pStyle w:val="5"/>
              <w:widowControl/>
              <w:tabs>
                <w:tab w:val="left" w:pos="0"/>
              </w:tabs>
              <w:topLinePunct/>
              <w:snapToGrid w:val="0"/>
              <w:jc w:val="center"/>
              <w:rPr>
                <w:rFonts w:ascii="宋体" w:hAnsi="宋体"/>
                <w:bCs/>
                <w:szCs w:val="21"/>
              </w:rPr>
            </w:pPr>
          </w:p>
        </w:tc>
      </w:tr>
    </w:tbl>
    <w:p w14:paraId="2EED746A">
      <w:pPr>
        <w:rPr>
          <w:rFonts w:ascii="宋体" w:hAnsi="宋体"/>
          <w:szCs w:val="21"/>
        </w:rPr>
      </w:pPr>
    </w:p>
    <w:p w14:paraId="44BE6531">
      <w:pPr>
        <w:spacing w:line="360" w:lineRule="auto"/>
        <w:jc w:val="left"/>
        <w:rPr>
          <w:rFonts w:ascii="宋体" w:hAnsi="宋体"/>
          <w:sz w:val="24"/>
        </w:rPr>
      </w:pPr>
      <w:r>
        <w:rPr>
          <w:rFonts w:hint="eastAsia" w:ascii="宋体" w:hAnsi="宋体" w:cs="仿宋_GB2312"/>
          <w:sz w:val="24"/>
          <w:lang w:val="hr-HR"/>
        </w:rPr>
        <w:t>备注：为方便评委评标，投标供应商可根据磋商文件中载明的《评分标准》，将具体响应情况及响应文件中对应页码在上表中注明。</w:t>
      </w:r>
    </w:p>
    <w:p w14:paraId="27311A2C"/>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F49FE">
    <w:pPr>
      <w:pStyle w:val="8"/>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4A99">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59419">
    <w:pPr>
      <w:pStyle w:val="9"/>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449EE">
    <w:pPr>
      <w:pStyle w:val="9"/>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F223497"/>
    <w:multiLevelType w:val="multilevel"/>
    <w:tmpl w:val="6F22349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02560E6B"/>
    <w:rsid w:val="16ED0036"/>
    <w:rsid w:val="2F2148C9"/>
    <w:rsid w:val="6439054E"/>
    <w:rsid w:val="6AC34A4E"/>
    <w:rsid w:val="700E7ADE"/>
    <w:rsid w:val="7B015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jc w:val="center"/>
      <w:outlineLvl w:val="0"/>
    </w:pPr>
    <w:rPr>
      <w:rFonts w:ascii="宋体" w:hAnsi="宋体"/>
      <w:sz w:val="32"/>
      <w:szCs w:val="2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4">
    <w:name w:val="annotation text"/>
    <w:basedOn w:val="1"/>
    <w:qFormat/>
    <w:uiPriority w:val="99"/>
    <w:pPr>
      <w:jc w:val="left"/>
    </w:pPr>
    <w:rPr>
      <w:rFonts w:ascii="Calibri" w:hAnsi="Calibri" w:eastAsia="宋体" w:cs="Times New Roman"/>
    </w:rPr>
  </w:style>
  <w:style w:type="paragraph" w:styleId="5">
    <w:name w:val="Body Text 3"/>
    <w:basedOn w:val="1"/>
    <w:unhideWhenUsed/>
    <w:qFormat/>
    <w:uiPriority w:val="0"/>
    <w:pPr>
      <w:spacing w:after="120"/>
    </w:pPr>
    <w:rPr>
      <w:rFonts w:asciiTheme="minorHAnsi" w:hAnsiTheme="minorHAnsi" w:eastAsiaTheme="minorEastAsia" w:cstheme="minorBidi"/>
      <w:kern w:val="2"/>
      <w:sz w:val="16"/>
      <w:szCs w:val="16"/>
    </w:rPr>
  </w:style>
  <w:style w:type="paragraph" w:styleId="6">
    <w:name w:val="Block Text"/>
    <w:basedOn w:val="1"/>
    <w:qFormat/>
    <w:uiPriority w:val="0"/>
    <w:pPr>
      <w:spacing w:after="120" w:afterLines="0" w:afterAutospacing="0"/>
      <w:ind w:left="1440" w:leftChars="700" w:rightChars="700"/>
    </w:pPr>
  </w:style>
  <w:style w:type="paragraph" w:styleId="7">
    <w:name w:val="Plain Text"/>
    <w:basedOn w:val="1"/>
    <w:qFormat/>
    <w:uiPriority w:val="0"/>
    <w:rPr>
      <w:rFonts w:ascii="宋体" w:hAnsi="Courier New"/>
      <w:szCs w:val="22"/>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16"/>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Title"/>
    <w:basedOn w:val="1"/>
    <w:next w:val="1"/>
    <w:qFormat/>
    <w:uiPriority w:val="0"/>
    <w:pPr>
      <w:spacing w:before="240" w:after="60"/>
      <w:jc w:val="center"/>
      <w:outlineLvl w:val="0"/>
    </w:pPr>
    <w:rPr>
      <w:rFonts w:ascii="Cambria" w:hAnsi="Cambria"/>
      <w:b/>
      <w:bCs/>
      <w:sz w:val="32"/>
      <w:szCs w:val="32"/>
    </w:rPr>
  </w:style>
  <w:style w:type="table" w:styleId="14">
    <w:name w:val="Table Grid"/>
    <w:basedOn w:val="13"/>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6">
    <w:name w:val="副标题 字符"/>
    <w:link w:val="10"/>
    <w:qFormat/>
    <w:uiPriority w:val="0"/>
    <w:rPr>
      <w:rFonts w:ascii="Cambria" w:hAnsi="Cambria"/>
      <w:b/>
      <w:bCs/>
      <w:kern w:val="28"/>
      <w:sz w:val="32"/>
      <w:szCs w:val="32"/>
    </w:rPr>
  </w:style>
  <w:style w:type="paragraph" w:styleId="17">
    <w:name w:val="List Paragraph"/>
    <w:basedOn w:val="1"/>
    <w:qFormat/>
    <w:uiPriority w:val="34"/>
    <w:pPr>
      <w:ind w:firstLine="420" w:firstLineChars="200"/>
    </w:pPr>
    <w:rPr>
      <w:sz w:val="28"/>
      <w:szCs w:val="24"/>
    </w:r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8147</Words>
  <Characters>8629</Characters>
  <Lines>0</Lines>
  <Paragraphs>0</Paragraphs>
  <TotalTime>11</TotalTime>
  <ScaleCrop>false</ScaleCrop>
  <LinksUpToDate>false</LinksUpToDate>
  <CharactersWithSpaces>9313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2024-07-25T11:22:00Z</dcterms:created>
  <dc:creator>Administrator</dc:creator>
  <cp:lastModifiedBy>Administrator</cp:lastModifiedBy>
  <dcterms:modified xsi:type="dcterms:W3CDTF">2024-07-30T02:41:00Z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F299DDD1AAC04B93B0434A6F03816E69_12</vt:lpwstr>
  </property>
</Properties>
</file>