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ascii="宋体" w:hAnsi="宋体" w:cs="宋体"/>
          <w:b/>
          <w:bCs/>
          <w:color w:val="000000"/>
          <w:kern w:val="0"/>
          <w:sz w:val="84"/>
          <w:szCs w:val="84"/>
        </w:rPr>
        <w:t>竞争性谈判文件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项目名称：黄石市中心医院合同管理与审批系统采购项目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163"/>
      <w:bookmarkStart w:id="1" w:name="_Toc528493082"/>
      <w:bookmarkStart w:id="2" w:name="_Toc528494262"/>
      <w:bookmarkStart w:id="3" w:name="_Toc528493130"/>
      <w:bookmarkStart w:id="4" w:name="_Toc528493563"/>
      <w:r>
        <w:rPr>
          <w:rFonts w:hint="eastAsia" w:ascii="宋体" w:hAnsi="宋体" w:cs="宋体"/>
        </w:rPr>
        <w:t>第一章  磋商邀请函</w:t>
      </w:r>
      <w:bookmarkEnd w:id="0"/>
      <w:bookmarkEnd w:id="1"/>
      <w:bookmarkEnd w:id="2"/>
      <w:bookmarkEnd w:id="3"/>
      <w:bookmarkEnd w:id="4"/>
      <w:bookmarkStart w:id="5" w:name="_Toc28359003"/>
      <w:bookmarkStart w:id="6" w:name="_Toc35393622"/>
      <w:bookmarkStart w:id="7" w:name="_Toc28359080"/>
      <w:bookmarkStart w:id="8" w:name="_Toc35393791"/>
    </w:p>
    <w:p>
      <w:pPr>
        <w:pStyle w:val="10"/>
        <w:ind w:firstLine="720" w:firstLineChars="300"/>
        <w:jc w:val="left"/>
        <w:rPr>
          <w:rFonts w:ascii="宋体" w:hAnsi="宋体" w:cs="宋体"/>
          <w:b w:val="0"/>
          <w:bCs w:val="0"/>
          <w:sz w:val="24"/>
          <w:szCs w:val="20"/>
        </w:rPr>
      </w:pPr>
      <w:r>
        <w:rPr>
          <w:rFonts w:hint="eastAsia" w:ascii="宋体" w:hAnsi="宋体" w:cs="宋体"/>
          <w:b w:val="0"/>
          <w:bCs w:val="0"/>
          <w:sz w:val="24"/>
          <w:szCs w:val="20"/>
          <w:lang w:val="zh-CN"/>
        </w:rPr>
        <w:t>根据黄石市中心医院的需求，就黄石市中心医院合同管理与审批系统采</w:t>
      </w:r>
      <w:r>
        <w:rPr>
          <w:rFonts w:hint="eastAsia" w:ascii="宋体" w:hAnsi="宋体" w:cs="宋体"/>
          <w:b w:val="0"/>
          <w:bCs w:val="0"/>
          <w:sz w:val="24"/>
          <w:szCs w:val="20"/>
        </w:rPr>
        <w:t>购项目</w:t>
      </w:r>
    </w:p>
    <w:p>
      <w:pPr>
        <w:spacing w:line="420" w:lineRule="exact"/>
        <w:ind w:firstLine="480" w:firstLineChars="200"/>
        <w:jc w:val="left"/>
        <w:rPr>
          <w:rFonts w:ascii="宋体" w:cs="宋体"/>
          <w:sz w:val="24"/>
          <w:lang w:val="zh-CN"/>
        </w:rPr>
      </w:pP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04"/>
      <w:bookmarkStart w:id="10" w:name="_Toc28359081"/>
      <w:bookmarkStart w:id="11" w:name="_Toc35393792"/>
      <w:bookmarkStart w:id="12" w:name="_Toc35393623"/>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项目名称：黄石市中心医院合同管理与审批系统采购项目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送货期：合同签订6</w:t>
      </w:r>
      <w:r>
        <w:rPr>
          <w:rFonts w:ascii="宋体" w:hAnsi="宋体" w:cs="宋体"/>
          <w:sz w:val="24"/>
        </w:rPr>
        <w:t>0</w:t>
      </w:r>
      <w:r>
        <w:rPr>
          <w:rFonts w:hint="eastAsia" w:ascii="宋体" w:hAnsi="宋体" w:cs="宋体"/>
          <w:sz w:val="24"/>
        </w:rPr>
        <w:t>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 xml:space="preserve">不少于 </w:t>
      </w:r>
      <w:r>
        <w:rPr>
          <w:rFonts w:ascii="宋体" w:hAnsi="宋体" w:cs="宋体"/>
          <w:sz w:val="24"/>
        </w:rPr>
        <w:t>1</w:t>
      </w:r>
      <w:r>
        <w:rPr>
          <w:rFonts w:hint="eastAsia" w:ascii="宋体" w:hAnsi="宋体" w:cs="宋体"/>
          <w:sz w:val="24"/>
        </w:rPr>
        <w:t>年</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hint="eastAsia"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28359084"/>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4</w:t>
      </w:r>
      <w:r>
        <w:rPr>
          <w:rFonts w:ascii="宋体" w:hAnsi="宋体" w:cs="宋体"/>
          <w:sz w:val="24"/>
        </w:rPr>
        <w:t>年</w:t>
      </w:r>
      <w:r>
        <w:rPr>
          <w:rFonts w:hint="eastAsia" w:ascii="宋体" w:hAnsi="宋体" w:cs="宋体"/>
          <w:sz w:val="24"/>
          <w:lang w:val="en-US" w:eastAsia="zh-CN"/>
        </w:rPr>
        <w:t>3</w:t>
      </w:r>
      <w:r>
        <w:rPr>
          <w:rFonts w:ascii="宋体" w:hAnsi="宋体" w:cs="宋体"/>
          <w:sz w:val="24"/>
        </w:rPr>
        <w:t>月</w:t>
      </w:r>
      <w:r>
        <w:rPr>
          <w:rFonts w:hint="eastAsia" w:ascii="宋体" w:hAnsi="宋体" w:cs="宋体"/>
          <w:sz w:val="24"/>
          <w:lang w:val="en-US" w:eastAsia="zh-CN"/>
        </w:rPr>
        <w:t>19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24年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26</w:t>
      </w:r>
      <w:bookmarkStart w:id="139" w:name="_GoBack"/>
      <w:bookmarkEnd w:id="139"/>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4275"/>
      <w:bookmarkStart w:id="19" w:name="_Toc528493083"/>
      <w:bookmarkStart w:id="20" w:name="_Toc528493131"/>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10"/>
        <w:rPr>
          <w:rFonts w:ascii="宋体" w:hAnsi="宋体" w:cs="宋体"/>
        </w:rPr>
      </w:pPr>
      <w:r>
        <w:rPr>
          <w:rFonts w:hint="eastAsia" w:ascii="宋体" w:hAnsi="宋体" w:cs="宋体"/>
        </w:rPr>
        <w:t xml:space="preserve">第二章  </w:t>
      </w:r>
      <w:r>
        <w:rPr>
          <w:rFonts w:hint="eastAsia" w:ascii="宋体" w:hAnsi="宋体"/>
        </w:rPr>
        <w:t>竞争性</w:t>
      </w:r>
      <w:r>
        <w:rPr>
          <w:rFonts w:hint="eastAsia" w:ascii="宋体" w:hAnsi="宋体"/>
          <w:lang w:val="en-US" w:eastAsia="zh-CN"/>
        </w:rPr>
        <w:t>谈判</w:t>
      </w:r>
      <w:r>
        <w:rPr>
          <w:rFonts w:hint="eastAsia" w:ascii="宋体" w:hAnsi="宋体" w:cs="宋体"/>
        </w:rPr>
        <w:t>须知</w:t>
      </w:r>
      <w:bookmarkEnd w:id="17"/>
      <w:bookmarkEnd w:id="18"/>
      <w:bookmarkEnd w:id="19"/>
      <w:bookmarkEnd w:id="20"/>
      <w:bookmarkEnd w:id="21"/>
    </w:p>
    <w:p>
      <w:pPr>
        <w:widowControl/>
        <w:spacing w:line="360" w:lineRule="auto"/>
        <w:ind w:firstLine="482" w:firstLineChars="200"/>
        <w:jc w:val="left"/>
        <w:outlineLvl w:val="2"/>
        <w:rPr>
          <w:rFonts w:hint="eastAsia" w:ascii="宋体" w:hAnsi="宋体" w:cs="宋体"/>
          <w:b/>
          <w:kern w:val="0"/>
          <w:sz w:val="24"/>
        </w:rPr>
      </w:pPr>
      <w:bookmarkStart w:id="22" w:name="_Toc22342"/>
      <w:bookmarkStart w:id="23" w:name="_Toc44855424"/>
      <w:bookmarkStart w:id="24" w:name="_Toc46744893"/>
      <w:bookmarkStart w:id="25" w:name="_Toc44692118"/>
      <w:bookmarkStart w:id="26" w:name="_Toc46764847"/>
      <w:bookmarkStart w:id="27" w:name="_Toc528494285"/>
      <w:bookmarkStart w:id="28" w:name="_Toc528493579"/>
      <w:bookmarkStart w:id="29" w:name="_Toc528493134"/>
      <w:bookmarkStart w:id="30" w:name="_Toc528493086"/>
      <w:bookmarkStart w:id="31" w:name="_Toc528493167"/>
      <w:r>
        <w:rPr>
          <w:rFonts w:hint="eastAsia" w:ascii="宋体" w:hAnsi="宋体" w:cs="宋体"/>
          <w:b/>
          <w:kern w:val="0"/>
          <w:sz w:val="24"/>
        </w:rPr>
        <w:t>（一）总则</w:t>
      </w:r>
      <w:bookmarkEnd w:id="22"/>
      <w:bookmarkEnd w:id="23"/>
      <w:bookmarkEnd w:id="24"/>
      <w:bookmarkEnd w:id="25"/>
      <w:bookmarkEnd w:id="26"/>
    </w:p>
    <w:p>
      <w:pPr>
        <w:pStyle w:val="5"/>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1.适用范围</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5"/>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2.定义</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5"/>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3.</w:t>
      </w:r>
      <w:r>
        <w:rPr>
          <w:rFonts w:hint="eastAsia" w:hAnsi="宋体" w:eastAsia="宋体" w:cs="宋体"/>
          <w:color w:val="000000"/>
          <w:sz w:val="24"/>
          <w:szCs w:val="24"/>
          <w:highlight w:val="white"/>
        </w:rPr>
        <w:t>货物和服务</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5"/>
        <w:spacing w:line="360" w:lineRule="auto"/>
        <w:ind w:firstLine="480" w:firstLineChars="200"/>
        <w:contextualSpacing/>
        <w:rPr>
          <w:rFonts w:hint="eastAsia" w:hAnsi="宋体" w:eastAsia="宋体" w:cs="宋体"/>
          <w:color w:val="000000"/>
          <w:sz w:val="24"/>
          <w:szCs w:val="24"/>
          <w:highlight w:val="white"/>
        </w:rPr>
      </w:pPr>
      <w:r>
        <w:rPr>
          <w:rFonts w:hint="eastAsia" w:hAnsi="宋体" w:eastAsia="宋体" w:cs="宋体"/>
          <w:color w:val="000000"/>
          <w:sz w:val="24"/>
          <w:szCs w:val="24"/>
          <w:highlight w:val="white"/>
        </w:rPr>
        <w:t>（2）“服务”是指：除货物和工程以外的其他政府采购对象。包括：</w:t>
      </w:r>
      <w:r>
        <w:rPr>
          <w:rFonts w:hint="eastAsia" w:hAnsi="宋体" w:eastAsia="宋体" w:cs="宋体"/>
          <w:sz w:val="24"/>
          <w:szCs w:val="24"/>
          <w:highlight w:val="white"/>
        </w:rPr>
        <w:t>政府自身需要的服务和政府向社会公众提供的公共服务</w:t>
      </w:r>
      <w:r>
        <w:rPr>
          <w:rFonts w:hint="eastAsia" w:hAnsi="宋体" w:eastAsia="宋体" w:cs="宋体"/>
          <w:color w:val="000000"/>
          <w:sz w:val="24"/>
          <w:szCs w:val="24"/>
          <w:highlight w:val="white"/>
        </w:rPr>
        <w:t>。</w:t>
      </w:r>
    </w:p>
    <w:p>
      <w:pPr>
        <w:pStyle w:val="5"/>
        <w:spacing w:line="360" w:lineRule="auto"/>
        <w:ind w:firstLine="480" w:firstLineChars="200"/>
        <w:contextualSpacing/>
        <w:rPr>
          <w:rFonts w:hint="eastAsia" w:hAnsi="宋体" w:eastAsia="宋体" w:cs="宋体"/>
          <w:sz w:val="24"/>
          <w:szCs w:val="24"/>
          <w:highlight w:val="white"/>
        </w:rPr>
      </w:pPr>
      <w:r>
        <w:rPr>
          <w:rFonts w:hint="eastAsia" w:hAnsi="宋体" w:eastAsia="宋体" w:cs="宋体"/>
          <w:sz w:val="24"/>
          <w:szCs w:val="24"/>
          <w:highlight w:val="white"/>
        </w:rPr>
        <w:t>4.谈判费用</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hint="eastAsia" w:ascii="宋体" w:hAnsi="宋体" w:cs="宋体"/>
          <w:b/>
          <w:kern w:val="0"/>
          <w:sz w:val="24"/>
        </w:rPr>
      </w:pPr>
      <w:bookmarkStart w:id="32" w:name="_Toc462487361"/>
      <w:bookmarkStart w:id="33" w:name="_Toc456291527"/>
      <w:bookmarkStart w:id="34" w:name="_Toc456291250"/>
      <w:bookmarkStart w:id="35" w:name="_Toc44692119"/>
      <w:bookmarkStart w:id="36" w:name="_Toc456291344"/>
      <w:bookmarkStart w:id="37" w:name="_Toc456291469"/>
      <w:bookmarkStart w:id="38" w:name="_Toc46744894"/>
      <w:bookmarkStart w:id="39" w:name="_Toc44855425"/>
      <w:bookmarkStart w:id="40" w:name="_Toc770"/>
      <w:bookmarkStart w:id="41" w:name="_Toc46764848"/>
      <w:bookmarkStart w:id="42" w:name="_Toc456291155"/>
      <w:bookmarkStart w:id="43" w:name="_Toc456291270"/>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4"/>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4"/>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4"/>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4"/>
        <w:spacing w:line="360" w:lineRule="auto"/>
        <w:ind w:firstLineChars="175"/>
        <w:rPr>
          <w:rFonts w:hint="eastAsia"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hint="eastAsia" w:ascii="宋体" w:hAnsi="宋体" w:cs="宋体"/>
          <w:b/>
          <w:kern w:val="0"/>
          <w:sz w:val="24"/>
        </w:rPr>
      </w:pPr>
      <w:bookmarkStart w:id="44" w:name="_Toc46744895"/>
      <w:bookmarkStart w:id="45" w:name="_Toc44855426"/>
      <w:bookmarkStart w:id="46" w:name="_Toc44692120"/>
      <w:bookmarkStart w:id="47" w:name="_Toc456291345"/>
      <w:bookmarkStart w:id="48" w:name="_Toc46764849"/>
      <w:bookmarkStart w:id="49" w:name="_Toc456291271"/>
      <w:bookmarkStart w:id="50" w:name="_Toc456291156"/>
      <w:bookmarkStart w:id="51" w:name="_Toc456291528"/>
      <w:bookmarkStart w:id="52" w:name="_Toc462487362"/>
      <w:bookmarkStart w:id="53" w:name="_Toc456291251"/>
      <w:bookmarkStart w:id="54" w:name="_Toc25940"/>
      <w:bookmarkStart w:id="55" w:name="_Toc456291470"/>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4"/>
        <w:spacing w:line="360" w:lineRule="auto"/>
        <w:ind w:firstLine="480"/>
        <w:rPr>
          <w:rFonts w:hint="eastAsia" w:ascii="宋体" w:hAnsi="宋体" w:cs="宋体"/>
          <w:color w:val="000000"/>
          <w:sz w:val="24"/>
          <w:szCs w:val="24"/>
          <w:highlight w:val="white"/>
        </w:rPr>
      </w:pPr>
      <w:bookmarkStart w:id="56" w:name="_Toc462487363"/>
      <w:bookmarkStart w:id="57" w:name="_Toc456291157"/>
      <w:bookmarkStart w:id="58" w:name="_Toc456291346"/>
      <w:bookmarkStart w:id="59" w:name="_Toc456291272"/>
      <w:bookmarkStart w:id="60" w:name="_Toc456291529"/>
      <w:bookmarkStart w:id="61" w:name="_Toc456291252"/>
      <w:bookmarkStart w:id="62" w:name="_Toc456291471"/>
      <w:r>
        <w:rPr>
          <w:rFonts w:hint="eastAsia" w:ascii="宋体" w:hAnsi="宋体" w:cs="宋体"/>
          <w:color w:val="000000"/>
          <w:sz w:val="24"/>
          <w:szCs w:val="24"/>
          <w:highlight w:val="white"/>
        </w:rPr>
        <w:t>（1）谈判供应商所提供的服务均以人民币报价。</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hint="eastAsia" w:ascii="宋体" w:hAnsi="宋体" w:cs="宋体"/>
          <w:b/>
          <w:kern w:val="0"/>
          <w:sz w:val="24"/>
        </w:rPr>
      </w:pPr>
      <w:bookmarkStart w:id="63" w:name="_Toc46744896"/>
      <w:bookmarkStart w:id="64" w:name="_Toc44692121"/>
      <w:bookmarkStart w:id="65" w:name="_Toc4289"/>
      <w:bookmarkStart w:id="66" w:name="_Toc44855427"/>
      <w:bookmarkStart w:id="67" w:name="_Toc46764850"/>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hint="eastAsia" w:ascii="宋体" w:hAnsi="宋体" w:cs="宋体"/>
          <w:b/>
          <w:kern w:val="0"/>
          <w:sz w:val="24"/>
        </w:rPr>
      </w:pPr>
      <w:bookmarkStart w:id="68" w:name="_Toc462487364"/>
      <w:bookmarkStart w:id="69" w:name="_Toc456291530"/>
      <w:bookmarkStart w:id="70" w:name="_Toc456291253"/>
      <w:bookmarkStart w:id="71" w:name="_Toc456291472"/>
      <w:bookmarkStart w:id="72" w:name="_Toc44692122"/>
      <w:bookmarkStart w:id="73" w:name="_Toc46744897"/>
      <w:bookmarkStart w:id="74" w:name="_Toc456291347"/>
      <w:bookmarkStart w:id="75" w:name="_Toc456291158"/>
      <w:bookmarkStart w:id="76" w:name="_Toc20094"/>
      <w:bookmarkStart w:id="77" w:name="_Toc456291273"/>
      <w:bookmarkStart w:id="78" w:name="_Toc44855428"/>
      <w:bookmarkStart w:id="79" w:name="_Toc46764851"/>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4"/>
        <w:spacing w:line="360" w:lineRule="auto"/>
        <w:ind w:firstLine="456"/>
        <w:rPr>
          <w:rFonts w:hint="eastAsia"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4"/>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4"/>
        <w:spacing w:line="360" w:lineRule="auto"/>
        <w:ind w:firstLine="480"/>
        <w:rPr>
          <w:rFonts w:hint="eastAsia"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hint="eastAsia" w:ascii="宋体" w:hAnsi="宋体" w:cs="宋体"/>
          <w:b/>
          <w:kern w:val="0"/>
          <w:sz w:val="24"/>
        </w:rPr>
      </w:pPr>
      <w:bookmarkStart w:id="80" w:name="_Toc44692123"/>
      <w:bookmarkStart w:id="81" w:name="_Toc456291348"/>
      <w:bookmarkStart w:id="82" w:name="_Toc456291473"/>
      <w:bookmarkStart w:id="83" w:name="_Toc456291159"/>
      <w:bookmarkStart w:id="84" w:name="_Toc456291254"/>
      <w:bookmarkStart w:id="85" w:name="_Toc456291274"/>
      <w:bookmarkStart w:id="86" w:name="_Toc462487365"/>
      <w:bookmarkStart w:id="87" w:name="_Toc456291531"/>
      <w:bookmarkStart w:id="88" w:name="_Toc44855429"/>
      <w:bookmarkStart w:id="89" w:name="_Toc28588"/>
      <w:bookmarkStart w:id="90" w:name="_Toc46744898"/>
      <w:bookmarkStart w:id="91" w:name="_Toc46764852"/>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hint="eastAsia" w:ascii="宋体" w:hAnsi="宋体" w:cs="宋体"/>
          <w:b/>
          <w:kern w:val="0"/>
          <w:sz w:val="24"/>
        </w:rPr>
      </w:pPr>
      <w:bookmarkStart w:id="92" w:name="_Toc44855430"/>
      <w:bookmarkStart w:id="93" w:name="_Toc46764853"/>
      <w:bookmarkStart w:id="94" w:name="_Toc28067"/>
      <w:bookmarkStart w:id="95" w:name="_Toc44692124"/>
      <w:bookmarkStart w:id="96" w:name="_Toc46744899"/>
      <w:r>
        <w:rPr>
          <w:rFonts w:hint="eastAsia" w:ascii="宋体" w:hAnsi="宋体" w:cs="宋体"/>
          <w:b/>
          <w:kern w:val="0"/>
          <w:sz w:val="24"/>
        </w:rPr>
        <w:t>（七）授予合同</w:t>
      </w:r>
      <w:bookmarkEnd w:id="92"/>
      <w:bookmarkEnd w:id="93"/>
      <w:bookmarkEnd w:id="94"/>
      <w:bookmarkEnd w:id="95"/>
      <w:bookmarkEnd w:id="96"/>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hint="eastAsia" w:ascii="宋体" w:hAnsi="宋体" w:cs="宋体"/>
          <w:b/>
          <w:kern w:val="0"/>
          <w:sz w:val="24"/>
        </w:rPr>
      </w:pPr>
      <w:bookmarkStart w:id="97" w:name="_Toc462487367"/>
      <w:bookmarkStart w:id="98" w:name="_Toc46764854"/>
      <w:bookmarkStart w:id="99" w:name="_Toc46744900"/>
      <w:bookmarkStart w:id="100" w:name="_Toc456291161"/>
      <w:bookmarkStart w:id="101" w:name="_Toc456291350"/>
      <w:bookmarkStart w:id="102" w:name="_Toc456291256"/>
      <w:bookmarkStart w:id="103" w:name="_Toc44855431"/>
      <w:bookmarkStart w:id="104" w:name="_Toc456291276"/>
      <w:bookmarkStart w:id="105" w:name="_Toc456291475"/>
      <w:bookmarkStart w:id="106" w:name="_Toc456291533"/>
      <w:bookmarkStart w:id="107" w:name="_Toc15655"/>
      <w:bookmarkStart w:id="108" w:name="_Toc44692125"/>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4"/>
        <w:spacing w:line="360" w:lineRule="auto"/>
        <w:ind w:firstLine="480"/>
        <w:rPr>
          <w:rFonts w:hint="eastAsia"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4"/>
        <w:spacing w:line="360" w:lineRule="auto"/>
        <w:ind w:firstLine="436"/>
        <w:rPr>
          <w:rFonts w:hint="eastAsia"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hint="eastAsia" w:ascii="宋体" w:hAnsi="宋体" w:cs="宋体"/>
          <w:b/>
          <w:kern w:val="0"/>
          <w:sz w:val="24"/>
        </w:rPr>
      </w:pPr>
      <w:bookmarkStart w:id="109" w:name="_Toc46744901"/>
      <w:bookmarkStart w:id="110" w:name="_Toc456291277"/>
      <w:bookmarkStart w:id="111" w:name="_Toc456291257"/>
      <w:bookmarkStart w:id="112" w:name="_Toc456291534"/>
      <w:bookmarkStart w:id="113" w:name="_Toc456291162"/>
      <w:bookmarkStart w:id="114" w:name="_Toc462487368"/>
      <w:bookmarkStart w:id="115" w:name="_Toc456291476"/>
      <w:bookmarkStart w:id="116" w:name="_Toc26773"/>
      <w:bookmarkStart w:id="117" w:name="_Toc44855432"/>
      <w:bookmarkStart w:id="118" w:name="_Toc46764855"/>
      <w:bookmarkStart w:id="119" w:name="_Toc44692126"/>
      <w:bookmarkStart w:id="120" w:name="_Toc456291351"/>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hint="eastAsia" w:ascii="宋体" w:hAnsi="宋体" w:cs="宋体"/>
          <w:b/>
          <w:kern w:val="0"/>
          <w:sz w:val="24"/>
        </w:rPr>
      </w:pPr>
      <w:bookmarkStart w:id="121" w:name="_Toc456291535"/>
      <w:bookmarkStart w:id="122" w:name="_Toc30161"/>
      <w:bookmarkStart w:id="123" w:name="_Toc456291278"/>
      <w:bookmarkStart w:id="124" w:name="_Toc44692127"/>
      <w:bookmarkStart w:id="125" w:name="_Toc46764856"/>
      <w:bookmarkStart w:id="126" w:name="_Toc456291352"/>
      <w:bookmarkStart w:id="127" w:name="_Toc456291477"/>
      <w:bookmarkStart w:id="128" w:name="_Toc44855433"/>
      <w:bookmarkStart w:id="129" w:name="_Toc462487369"/>
      <w:bookmarkStart w:id="130" w:name="_Toc456291258"/>
      <w:bookmarkStart w:id="131" w:name="_Toc456291163"/>
      <w:bookmarkStart w:id="132" w:name="_Toc46744902"/>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pPr>
        <w:pStyle w:val="4"/>
        <w:spacing w:line="360" w:lineRule="auto"/>
        <w:ind w:firstLine="480"/>
        <w:rPr>
          <w:rFonts w:hint="eastAsia"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10"/>
        <w:rPr>
          <w:rFonts w:ascii="宋体" w:hAnsi="宋体" w:cs="宋体"/>
        </w:rPr>
      </w:pPr>
      <w:r>
        <w:rPr>
          <w:rFonts w:hint="eastAsia" w:cs="宋体"/>
          <w:kern w:val="2"/>
        </w:rPr>
        <w:br w:type="page"/>
      </w:r>
      <w:r>
        <w:rPr>
          <w:rFonts w:hint="eastAsia" w:ascii="宋体" w:hAnsi="宋体" w:cs="宋体"/>
        </w:rPr>
        <w:t>第四章  采购项目内容及要求</w:t>
      </w:r>
      <w:bookmarkEnd w:id="27"/>
      <w:bookmarkEnd w:id="28"/>
      <w:bookmarkEnd w:id="29"/>
      <w:bookmarkEnd w:id="30"/>
      <w:bookmarkEnd w:id="31"/>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133" w:name="_Toc528493087"/>
      <w:bookmarkStart w:id="134" w:name="_Toc528493168"/>
      <w:bookmarkStart w:id="135" w:name="_Toc528493580"/>
      <w:bookmarkStart w:id="136" w:name="_Toc528494286"/>
      <w:bookmarkStart w:id="137" w:name="_Toc528493135"/>
      <w:bookmarkStart w:id="138" w:name="_Hlk18936003"/>
      <w:r>
        <w:rPr>
          <w:rFonts w:ascii="宋体" w:hAnsi="宋体" w:cs="宋体"/>
          <w:sz w:val="24"/>
        </w:rPr>
        <w:t>1.</w:t>
      </w:r>
      <w:r>
        <w:rPr>
          <w:rFonts w:hint="eastAsia" w:ascii="宋体" w:hAnsi="宋体" w:cs="宋体"/>
          <w:sz w:val="24"/>
        </w:rPr>
        <w:t>项目名称：黄石市中心医院合同管理与审批系统采购项目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 xml:space="preserve">不少于 </w:t>
      </w:r>
      <w:r>
        <w:rPr>
          <w:rFonts w:ascii="宋体" w:hAnsi="宋体" w:cs="宋体"/>
          <w:sz w:val="24"/>
        </w:rPr>
        <w:t>1</w:t>
      </w:r>
      <w:r>
        <w:rPr>
          <w:rFonts w:hint="eastAsia" w:ascii="宋体" w:hAnsi="宋体" w:cs="宋体"/>
          <w:sz w:val="24"/>
        </w:rPr>
        <w:t xml:space="preserve"> 年</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p>
      <w:pPr>
        <w:pStyle w:val="14"/>
        <w:numPr>
          <w:ilvl w:val="0"/>
          <w:numId w:val="1"/>
        </w:numPr>
        <w:spacing w:line="360" w:lineRule="auto"/>
        <w:ind w:firstLineChars="0"/>
        <w:rPr>
          <w:b/>
          <w:sz w:val="24"/>
        </w:rPr>
      </w:pPr>
      <w:r>
        <w:rPr>
          <w:rFonts w:hint="eastAsia" w:ascii="宋体" w:hAnsi="宋体" w:cs="宋体"/>
          <w:b/>
          <w:bCs/>
          <w:sz w:val="24"/>
        </w:rPr>
        <w:t>技术规格及要求：</w:t>
      </w:r>
      <w:bookmarkEnd w:id="133"/>
      <w:bookmarkEnd w:id="134"/>
      <w:bookmarkEnd w:id="135"/>
      <w:bookmarkEnd w:id="136"/>
      <w:bookmarkEnd w:id="137"/>
      <w:bookmarkEnd w:id="138"/>
    </w:p>
    <w:tbl>
      <w:tblPr>
        <w:tblStyle w:val="11"/>
        <w:tblW w:w="93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55"/>
        <w:gridCol w:w="1812"/>
        <w:gridCol w:w="63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名称</w:t>
            </w:r>
          </w:p>
        </w:tc>
        <w:tc>
          <w:tcPr>
            <w:tcW w:w="1812"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功能菜单</w:t>
            </w:r>
          </w:p>
        </w:tc>
        <w:tc>
          <w:tcPr>
            <w:tcW w:w="6379"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功能介绍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restart"/>
            <w:vAlign w:val="center"/>
          </w:tcPr>
          <w:p>
            <w:pPr>
              <w:jc w:val="center"/>
              <w:rPr>
                <w:rFonts w:ascii="宋体" w:hAnsi="宋体" w:cs="宋体"/>
                <w:color w:val="000000"/>
                <w:kern w:val="0"/>
                <w:szCs w:val="21"/>
              </w:rPr>
            </w:pPr>
            <w:r>
              <w:rPr>
                <w:rFonts w:hint="eastAsia" w:ascii="宋体" w:hAnsi="宋体" w:cs="宋体"/>
                <w:color w:val="000000"/>
                <w:kern w:val="0"/>
                <w:szCs w:val="21"/>
              </w:rPr>
              <w:t>合同管理</w:t>
            </w:r>
          </w:p>
        </w:tc>
        <w:tc>
          <w:tcPr>
            <w:tcW w:w="1812" w:type="dxa"/>
            <w:vMerge w:val="restart"/>
            <w:vAlign w:val="center"/>
          </w:tcPr>
          <w:p>
            <w:pPr>
              <w:widowControl/>
              <w:jc w:val="center"/>
              <w:rPr>
                <w:rFonts w:ascii="宋体" w:hAnsi="宋体" w:cs="宋体"/>
                <w:bCs/>
                <w:color w:val="000000"/>
                <w:kern w:val="0"/>
                <w:szCs w:val="21"/>
              </w:rPr>
            </w:pPr>
            <w:r>
              <w:rPr>
                <w:rFonts w:hint="eastAsia" w:ascii="宋体" w:hAnsi="宋体" w:cs="宋体"/>
                <w:color w:val="000000"/>
                <w:kern w:val="0"/>
                <w:szCs w:val="21"/>
              </w:rPr>
              <w:t>相对方管理</w:t>
            </w:r>
          </w:p>
        </w:tc>
        <w:tc>
          <w:tcPr>
            <w:tcW w:w="6379" w:type="dxa"/>
            <w:vAlign w:val="center"/>
          </w:tcPr>
          <w:p>
            <w:pPr>
              <w:widowControl/>
              <w:jc w:val="left"/>
              <w:rPr>
                <w:rFonts w:ascii="宋体" w:hAnsi="宋体" w:cs="宋体"/>
                <w:bCs/>
                <w:color w:val="000000"/>
                <w:kern w:val="0"/>
                <w:szCs w:val="21"/>
              </w:rPr>
            </w:pPr>
            <w:r>
              <w:rPr>
                <w:rFonts w:hint="eastAsia" w:ascii="宋体" w:hAnsi="宋体" w:cs="宋体"/>
                <w:color w:val="000000"/>
                <w:kern w:val="0"/>
                <w:szCs w:val="21"/>
              </w:rPr>
              <w:t>相对方审批：系统支持相对方审批，</w:t>
            </w:r>
            <w:r>
              <w:rPr>
                <w:rFonts w:hint="eastAsia" w:ascii="宋体" w:hAnsi="宋体" w:cs="宋体"/>
                <w:bCs/>
                <w:color w:val="000000"/>
                <w:kern w:val="0"/>
                <w:szCs w:val="21"/>
              </w:rPr>
              <w:t xml:space="preserve"> 可灵活自定义相对方的审批表单和审批流程节点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b/>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相对方白名单：审批通过的相对方可以自动进入相对方白名单，可以供合同使用时进行调用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b/>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相对方黑名单：支持白名单转黑名单，黑名单无法再进行新的合同签署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我的合同</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个人发起的合同统一在我的合同里面显示，能够进行变更及查看，能够导出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b/>
                <w:color w:val="000000"/>
                <w:kern w:val="0"/>
                <w:szCs w:val="21"/>
              </w:rPr>
            </w:pPr>
            <w:r>
              <w:rPr>
                <w:rFonts w:hint="eastAsia" w:ascii="宋体" w:hAnsi="宋体" w:cs="宋体"/>
                <w:color w:val="000000"/>
                <w:kern w:val="0"/>
                <w:szCs w:val="21"/>
              </w:rPr>
              <w:t>合同审批</w:t>
            </w:r>
          </w:p>
        </w:tc>
        <w:tc>
          <w:tcPr>
            <w:tcW w:w="6379" w:type="dxa"/>
            <w:vAlign w:val="center"/>
          </w:tcPr>
          <w:p>
            <w:pPr>
              <w:widowControl/>
              <w:jc w:val="left"/>
              <w:rPr>
                <w:rFonts w:ascii="宋体" w:hAnsi="宋体" w:cs="宋体"/>
                <w:b/>
                <w:color w:val="000000"/>
                <w:kern w:val="0"/>
                <w:szCs w:val="21"/>
              </w:rPr>
            </w:pPr>
            <w:r>
              <w:rPr>
                <w:rFonts w:hint="eastAsia" w:ascii="宋体" w:hAnsi="宋体" w:cs="宋体"/>
                <w:color w:val="000000"/>
                <w:kern w:val="0"/>
                <w:szCs w:val="21"/>
              </w:rPr>
              <w:t>发起合同审批流程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合同变更审批</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发起合同变更审批流程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合同信息</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包括应付款合同、应收款合同、其他合同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审批记录</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查询现有合同所处的审批状态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约定提醒</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对于合同中条款的执行在系统中进行提前提醒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统计报表</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查看合同信息的统计报表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基础设置</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包括合同号设置、合同类别类别、公司性质、相对方类别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自定义数据表</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包括分类管理、用户数据表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表单定义</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支持相对方审批表单、相对方变更表单、合同审批表单、合同变更表单、合同终止表单进行自定义设计。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流程设置</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支持相对方审批、相对方变更审批、合同审批、合同变更审批、合同终止审批相关流程进行自定义设置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审批记录查询</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可以查询合同审批记录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审批超时提醒</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超时未审批有消息提醒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restart"/>
            <w:vAlign w:val="center"/>
          </w:tcPr>
          <w:p>
            <w:pPr>
              <w:widowControl/>
              <w:jc w:val="center"/>
              <w:rPr>
                <w:rFonts w:ascii="宋体" w:hAnsi="宋体" w:cs="宋体"/>
                <w:b/>
                <w:color w:val="000000"/>
                <w:kern w:val="0"/>
                <w:szCs w:val="21"/>
              </w:rPr>
            </w:pPr>
            <w:r>
              <w:rPr>
                <w:rFonts w:hint="eastAsia" w:ascii="宋体" w:hAnsi="宋体" w:cs="宋体"/>
                <w:color w:val="000000"/>
                <w:kern w:val="0"/>
                <w:szCs w:val="21"/>
              </w:rPr>
              <w:t>系统集成</w:t>
            </w:r>
          </w:p>
        </w:tc>
        <w:tc>
          <w:tcPr>
            <w:tcW w:w="181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协同办公系统</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组织人员集成：支持与我院内部协同办公系统（OA）进行组织人员集成，合同和相对方审批的过程中，可以读取OA的组织和人员的数据，避免系统组织人员不对应的问题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流程引擎集成:支持与OA系统的流程引擎进行集成，通过OA流程设计器进行流程设计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门户集成：支持合同相关信息与OA系统门户进行集成，快速对合同信息进行发起、查看等功能。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8"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OA移动端集成：合同相关提醒，支持与移动OA提醒平台进行对接，支持邮件提醒功能。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集成接口费用由投标方完全负责。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1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系统管理</w:t>
            </w:r>
          </w:p>
          <w:p>
            <w:pPr>
              <w:jc w:val="center"/>
              <w:rPr>
                <w:rFonts w:ascii="宋体" w:hAnsi="宋体" w:cs="宋体"/>
                <w:b/>
                <w:color w:val="000000"/>
                <w:kern w:val="0"/>
                <w:szCs w:val="21"/>
              </w:rPr>
            </w:pPr>
            <w:r>
              <w:rPr>
                <w:rFonts w:hint="eastAsia" w:ascii="宋体" w:hAnsi="宋体" w:cs="宋体"/>
                <w:color w:val="000000"/>
                <w:kern w:val="0"/>
                <w:szCs w:val="21"/>
              </w:rPr>
              <w:t>(基础管理平台)</w:t>
            </w:r>
          </w:p>
        </w:tc>
        <w:tc>
          <w:tcPr>
            <w:tcW w:w="1812" w:type="dxa"/>
            <w:vMerge w:val="restart"/>
            <w:vAlign w:val="center"/>
          </w:tcPr>
          <w:p>
            <w:pPr>
              <w:jc w:val="center"/>
              <w:rPr>
                <w:rFonts w:ascii="宋体" w:hAnsi="宋体" w:cs="宋体"/>
                <w:color w:val="000000"/>
                <w:kern w:val="0"/>
                <w:szCs w:val="21"/>
              </w:rPr>
            </w:pPr>
            <w:r>
              <w:rPr>
                <w:rFonts w:hint="eastAsia" w:ascii="宋体" w:hAnsi="宋体" w:cs="宋体"/>
                <w:color w:val="000000"/>
                <w:kern w:val="0"/>
                <w:szCs w:val="21"/>
              </w:rPr>
              <w:t>组织用户管理</w:t>
            </w:r>
          </w:p>
        </w:tc>
        <w:tc>
          <w:tcPr>
            <w:tcW w:w="6379" w:type="dxa"/>
            <w:vAlign w:val="center"/>
          </w:tcPr>
          <w:p>
            <w:pPr>
              <w:jc w:val="left"/>
              <w:rPr>
                <w:rFonts w:ascii="宋体" w:hAnsi="宋体" w:cs="宋体"/>
                <w:color w:val="000000"/>
                <w:kern w:val="0"/>
                <w:szCs w:val="21"/>
              </w:rPr>
            </w:pPr>
            <w:r>
              <w:rPr>
                <w:rFonts w:hint="eastAsia" w:ascii="宋体" w:hAnsi="宋体" w:cs="宋体"/>
                <w:color w:val="000000"/>
                <w:kern w:val="0"/>
                <w:szCs w:val="21"/>
              </w:rPr>
              <w:t>组织用户管理，能够跟O</w:t>
            </w:r>
            <w:r>
              <w:rPr>
                <w:rFonts w:ascii="宋体" w:hAnsi="宋体" w:cs="宋体"/>
                <w:color w:val="000000"/>
                <w:kern w:val="0"/>
                <w:szCs w:val="21"/>
              </w:rPr>
              <w:t>A</w:t>
            </w:r>
            <w:r>
              <w:rPr>
                <w:rFonts w:hint="eastAsia" w:ascii="宋体" w:hAnsi="宋体" w:cs="宋体"/>
                <w:color w:val="000000"/>
                <w:kern w:val="0"/>
                <w:szCs w:val="21"/>
              </w:rPr>
              <w:t>系统对接，直接使用O</w:t>
            </w:r>
            <w:r>
              <w:rPr>
                <w:rFonts w:ascii="宋体" w:hAnsi="宋体" w:cs="宋体"/>
                <w:color w:val="000000"/>
                <w:kern w:val="0"/>
                <w:szCs w:val="21"/>
              </w:rPr>
              <w:t>A</w:t>
            </w:r>
            <w:r>
              <w:rPr>
                <w:rFonts w:hint="eastAsia" w:ascii="宋体" w:hAnsi="宋体" w:cs="宋体"/>
                <w:color w:val="000000"/>
                <w:kern w:val="0"/>
                <w:szCs w:val="21"/>
              </w:rPr>
              <w:t>系统的组织架构及人员信息。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群组管理（群组分类、群组设置）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角色管理（角色分类、角色设置）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权限管理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用户管理（包括当前用户、禁用用户、休眠用户、申请用户、移动设备用户、浏览范围管理）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工作代理（管理员设置用户的工作代理）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工作交接（管理员可对离职或者转岗的用户的流程数据进行交接处理）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安全管理</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日志管理，包括：日志设置、日志级别设置、当前日志、历史日志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
                <w:color w:val="000000"/>
                <w:kern w:val="0"/>
                <w:szCs w:val="21"/>
              </w:rPr>
            </w:pPr>
          </w:p>
        </w:tc>
        <w:tc>
          <w:tcPr>
            <w:tcW w:w="1812" w:type="dxa"/>
            <w:vMerge w:val="continue"/>
            <w:vAlign w:val="center"/>
          </w:tcPr>
          <w:p>
            <w:pPr>
              <w:widowControl/>
              <w:jc w:val="center"/>
              <w:rPr>
                <w:rFonts w:ascii="宋体" w:hAnsi="宋体" w:cs="宋体"/>
                <w:color w:val="000000"/>
                <w:kern w:val="0"/>
                <w:szCs w:val="21"/>
              </w:rPr>
            </w:pP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访问IP设置，可以设置系统的安全访问IP地址段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移动端</w:t>
            </w: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移动端合同审批</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合同审批能够跟O</w:t>
            </w:r>
            <w:r>
              <w:rPr>
                <w:rFonts w:ascii="宋体" w:hAnsi="宋体" w:cs="宋体"/>
                <w:color w:val="000000"/>
                <w:kern w:val="0"/>
                <w:szCs w:val="21"/>
              </w:rPr>
              <w:t>A</w:t>
            </w:r>
            <w:r>
              <w:rPr>
                <w:rFonts w:hint="eastAsia" w:ascii="宋体" w:hAnsi="宋体" w:cs="宋体"/>
                <w:color w:val="000000"/>
                <w:kern w:val="0"/>
                <w:szCs w:val="21"/>
              </w:rPr>
              <w:t>系统的移动端进行无缝对接。移动端使用企业微信，可以直接通过微信完成合同审批流程的签批。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155" w:type="dxa"/>
            <w:vMerge w:val="continue"/>
            <w:vAlign w:val="center"/>
          </w:tcPr>
          <w:p>
            <w:pPr>
              <w:widowControl/>
              <w:jc w:val="center"/>
              <w:rPr>
                <w:rFonts w:ascii="宋体" w:hAnsi="宋体" w:cs="宋体"/>
                <w:bCs/>
                <w:color w:val="000000"/>
                <w:kern w:val="0"/>
                <w:szCs w:val="21"/>
              </w:rPr>
            </w:pPr>
          </w:p>
        </w:tc>
        <w:tc>
          <w:tcPr>
            <w:tcW w:w="181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移动端消息提醒</w:t>
            </w:r>
          </w:p>
        </w:tc>
        <w:tc>
          <w:tcPr>
            <w:tcW w:w="637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电脑端发起的合同审批流程，在O</w:t>
            </w:r>
            <w:r>
              <w:rPr>
                <w:rFonts w:ascii="宋体" w:hAnsi="宋体" w:cs="宋体"/>
                <w:color w:val="000000"/>
                <w:kern w:val="0"/>
                <w:szCs w:val="21"/>
              </w:rPr>
              <w:t>A</w:t>
            </w:r>
            <w:r>
              <w:rPr>
                <w:rFonts w:hint="eastAsia" w:ascii="宋体" w:hAnsi="宋体" w:cs="宋体"/>
                <w:color w:val="000000"/>
                <w:kern w:val="0"/>
                <w:szCs w:val="21"/>
              </w:rPr>
              <w:t>移动端微信界面能够收到消息提醒。</w:t>
            </w:r>
          </w:p>
        </w:tc>
      </w:tr>
    </w:tbl>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552DD"/>
    <w:rsid w:val="000552DD"/>
    <w:rsid w:val="004C76CF"/>
    <w:rsid w:val="00812C8C"/>
    <w:rsid w:val="00AC7851"/>
    <w:rsid w:val="00B56CB4"/>
    <w:rsid w:val="00E3694C"/>
    <w:rsid w:val="09107AF0"/>
    <w:rsid w:val="13121D70"/>
    <w:rsid w:val="3059366C"/>
    <w:rsid w:val="32B06690"/>
    <w:rsid w:val="46495879"/>
    <w:rsid w:val="62F0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等线" w:hAnsi="等线" w:eastAsia="等线" w:cs="Times New Roman"/>
      <w:kern w:val="2"/>
      <w:sz w:val="21"/>
      <w:szCs w:val="24"/>
      <w:lang w:val="en-US" w:eastAsia="zh-CN" w:bidi="ar-SA"/>
    </w:rPr>
  </w:style>
  <w:style w:type="paragraph" w:styleId="4">
    <w:name w:val="Normal Indent"/>
    <w:basedOn w:val="1"/>
    <w:unhideWhenUsed/>
    <w:qFormat/>
    <w:uiPriority w:val="0"/>
    <w:pPr>
      <w:ind w:firstLine="420" w:firstLineChars="200"/>
    </w:pPr>
  </w:style>
  <w:style w:type="paragraph" w:styleId="5">
    <w:name w:val="Plain Text"/>
    <w:basedOn w:val="1"/>
    <w:autoRedefine/>
    <w:qFormat/>
    <w:uiPriority w:val="0"/>
    <w:rPr>
      <w:rFonts w:ascii="宋体" w:hAnsi="Courier New"/>
      <w:szCs w:val="22"/>
    </w:rPr>
  </w:style>
  <w:style w:type="paragraph" w:styleId="6">
    <w:name w:val="footer"/>
    <w:basedOn w:val="1"/>
    <w:autoRedefine/>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3"/>
    <w:autoRedefine/>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character" w:customStyle="1" w:styleId="13">
    <w:name w:val="副标题 字符"/>
    <w:link w:val="8"/>
    <w:autoRedefine/>
    <w:qFormat/>
    <w:uiPriority w:val="0"/>
    <w:rPr>
      <w:rFonts w:ascii="Cambria" w:hAnsi="Cambria"/>
      <w:b/>
      <w:bCs/>
      <w:kern w:val="28"/>
      <w:sz w:val="32"/>
      <w:szCs w:val="32"/>
    </w:rPr>
  </w:style>
  <w:style w:type="paragraph" w:styleId="14">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1046</Words>
  <Characters>5966</Characters>
  <Lines>49</Lines>
  <Paragraphs>13</Paragraphs>
  <TotalTime>2</TotalTime>
  <ScaleCrop>false</ScaleCrop>
  <LinksUpToDate>false</LinksUpToDate>
  <CharactersWithSpaces>6999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2024-03-08T00:25:00Z</dcterms:created>
  <dc:creator>Administrator</dc:creator>
  <cp:lastModifiedBy>Administrator</cp:lastModifiedBy>
  <cp:lastPrinted>2024-03-18T07:28:28Z</cp:lastPrinted>
  <dcterms:modified xsi:type="dcterms:W3CDTF">2024-03-18T07:29:21Z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7A21A9137A9E4B9F90FF57CEC0FEB237_13</vt:lpwstr>
  </property>
</Properties>
</file>